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331" w:rsidRPr="00614F55" w:rsidRDefault="00BF2331" w:rsidP="00BF2331">
      <w:pPr>
        <w:jc w:val="center"/>
        <w:rPr>
          <w:rFonts w:cs="Times New Roman"/>
          <w:b/>
          <w:bCs/>
          <w:iCs/>
          <w:color w:val="222222"/>
          <w:sz w:val="28"/>
          <w:szCs w:val="28"/>
          <w:highlight w:val="white"/>
          <w:lang w:val="ro-RO"/>
        </w:rPr>
      </w:pPr>
      <w:r w:rsidRPr="00614F55">
        <w:rPr>
          <w:rFonts w:cs="Times New Roman"/>
          <w:b/>
          <w:bCs/>
          <w:sz w:val="28"/>
          <w:szCs w:val="28"/>
          <w:lang w:val="ro-RO"/>
        </w:rPr>
        <w:t>S.03.O.014</w:t>
      </w:r>
      <w:r w:rsidRPr="00614F55">
        <w:rPr>
          <w:rFonts w:cs="Times New Roman"/>
          <w:b/>
          <w:bCs/>
          <w:i/>
          <w:color w:val="222222"/>
          <w:sz w:val="28"/>
          <w:szCs w:val="28"/>
          <w:highlight w:val="white"/>
          <w:lang w:val="ro-RO"/>
        </w:rPr>
        <w:t xml:space="preserve"> </w:t>
      </w:r>
      <w:r w:rsidRPr="00614F55">
        <w:rPr>
          <w:rFonts w:cs="Times New Roman"/>
          <w:b/>
          <w:bCs/>
          <w:iCs/>
          <w:color w:val="222222"/>
          <w:sz w:val="28"/>
          <w:szCs w:val="28"/>
          <w:highlight w:val="white"/>
          <w:lang w:val="ro-RO"/>
        </w:rPr>
        <w:t>DREPTURILE OMULUI</w:t>
      </w:r>
    </w:p>
    <w:tbl>
      <w:tblPr>
        <w:tblStyle w:val="TableGrid"/>
        <w:tblW w:w="0" w:type="auto"/>
        <w:tblLook w:val="04A0" w:firstRow="1" w:lastRow="0" w:firstColumn="1" w:lastColumn="0" w:noHBand="0" w:noVBand="1"/>
      </w:tblPr>
      <w:tblGrid>
        <w:gridCol w:w="2348"/>
        <w:gridCol w:w="6668"/>
      </w:tblGrid>
      <w:tr w:rsidR="00BF2331" w:rsidRPr="009F770C" w:rsidTr="0020442A">
        <w:tc>
          <w:tcPr>
            <w:tcW w:w="2405" w:type="dxa"/>
            <w:shd w:val="clear" w:color="auto" w:fill="D9E2F3" w:themeFill="accent1" w:themeFillTint="33"/>
          </w:tcPr>
          <w:p w:rsidR="00BF2331" w:rsidRPr="00614F55" w:rsidRDefault="00BF2331" w:rsidP="0020442A">
            <w:pPr>
              <w:rPr>
                <w:rFonts w:cs="Times New Roman"/>
                <w:sz w:val="24"/>
                <w:szCs w:val="24"/>
                <w:lang w:val="ro-RO"/>
              </w:rPr>
            </w:pPr>
            <w:r w:rsidRPr="00614F55">
              <w:rPr>
                <w:rFonts w:cs="Times New Roman"/>
                <w:sz w:val="24"/>
                <w:szCs w:val="24"/>
                <w:lang w:val="ro-RO"/>
              </w:rPr>
              <w:t>Denumirea disciplinei</w:t>
            </w:r>
          </w:p>
        </w:tc>
        <w:tc>
          <w:tcPr>
            <w:tcW w:w="6940" w:type="dxa"/>
          </w:tcPr>
          <w:p w:rsidR="00BF2331" w:rsidRPr="00614F55" w:rsidRDefault="00BF2331" w:rsidP="0020442A">
            <w:pPr>
              <w:jc w:val="center"/>
              <w:rPr>
                <w:rFonts w:cs="Times New Roman"/>
                <w:b/>
                <w:bCs/>
                <w:i/>
                <w:color w:val="222222"/>
                <w:sz w:val="24"/>
                <w:szCs w:val="24"/>
                <w:lang w:val="ro-RO"/>
              </w:rPr>
            </w:pPr>
            <w:r w:rsidRPr="00614F55">
              <w:rPr>
                <w:rFonts w:cs="Times New Roman"/>
                <w:color w:val="222222"/>
                <w:sz w:val="24"/>
                <w:szCs w:val="24"/>
                <w:highlight w:val="white"/>
                <w:lang w:val="ro-RO"/>
              </w:rPr>
              <w:t>Drepturile Omului și Legislația în sănătatea mintală</w:t>
            </w:r>
          </w:p>
        </w:tc>
      </w:tr>
      <w:tr w:rsidR="00BF2331" w:rsidRPr="00614F55"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 xml:space="preserve">Tipul </w:t>
            </w:r>
          </w:p>
        </w:tc>
        <w:tc>
          <w:tcPr>
            <w:tcW w:w="6940" w:type="dxa"/>
          </w:tcPr>
          <w:p w:rsidR="00BF2331" w:rsidRPr="00614F55" w:rsidRDefault="00BF2331" w:rsidP="0020442A">
            <w:pPr>
              <w:rPr>
                <w:rFonts w:cs="Times New Roman"/>
                <w:sz w:val="24"/>
                <w:szCs w:val="24"/>
                <w:lang w:val="ro-RO"/>
              </w:rPr>
            </w:pPr>
            <w:r w:rsidRPr="00614F55">
              <w:rPr>
                <w:rFonts w:cs="Times New Roman"/>
                <w:sz w:val="24"/>
                <w:szCs w:val="24"/>
                <w:lang w:val="ro-RO"/>
              </w:rPr>
              <w:t>Obligatoriu</w:t>
            </w:r>
          </w:p>
        </w:tc>
      </w:tr>
      <w:tr w:rsidR="00BF2331" w:rsidRPr="00614F55"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Anul de studii</w:t>
            </w:r>
          </w:p>
        </w:tc>
        <w:tc>
          <w:tcPr>
            <w:tcW w:w="6940" w:type="dxa"/>
          </w:tcPr>
          <w:p w:rsidR="00BF2331" w:rsidRPr="00614F55" w:rsidRDefault="00BF2331" w:rsidP="0020442A">
            <w:pPr>
              <w:rPr>
                <w:rFonts w:cs="Times New Roman"/>
                <w:sz w:val="24"/>
                <w:szCs w:val="24"/>
                <w:lang w:val="ro-RO"/>
              </w:rPr>
            </w:pPr>
            <w:r w:rsidRPr="00614F55">
              <w:rPr>
                <w:rFonts w:cs="Times New Roman"/>
                <w:sz w:val="24"/>
                <w:szCs w:val="24"/>
                <w:lang w:val="ro-RO"/>
              </w:rPr>
              <w:t>II, sem III</w:t>
            </w:r>
          </w:p>
        </w:tc>
      </w:tr>
      <w:tr w:rsidR="00BF2331" w:rsidRPr="00614F55"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Componenta</w:t>
            </w:r>
          </w:p>
        </w:tc>
        <w:tc>
          <w:tcPr>
            <w:tcW w:w="6940" w:type="dxa"/>
          </w:tcPr>
          <w:p w:rsidR="00BF2331" w:rsidRPr="00614F55" w:rsidRDefault="00BF2331" w:rsidP="0020442A">
            <w:pPr>
              <w:rPr>
                <w:rFonts w:cs="Times New Roman"/>
                <w:sz w:val="24"/>
                <w:szCs w:val="24"/>
                <w:lang w:val="ro-RO"/>
              </w:rPr>
            </w:pPr>
            <w:r w:rsidRPr="00614F55">
              <w:rPr>
                <w:rFonts w:cs="Times New Roman"/>
                <w:sz w:val="24"/>
                <w:szCs w:val="24"/>
                <w:lang w:val="ro-RO"/>
              </w:rPr>
              <w:t>de specialitate</w:t>
            </w:r>
          </w:p>
        </w:tc>
      </w:tr>
      <w:tr w:rsidR="00BF2331" w:rsidRPr="009F770C"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Titularul de curs</w:t>
            </w:r>
          </w:p>
        </w:tc>
        <w:tc>
          <w:tcPr>
            <w:tcW w:w="6940" w:type="dxa"/>
          </w:tcPr>
          <w:p w:rsidR="00BF2331" w:rsidRPr="00614F55" w:rsidRDefault="00BF2331" w:rsidP="0020442A">
            <w:pPr>
              <w:rPr>
                <w:rFonts w:cs="Times New Roman"/>
                <w:sz w:val="24"/>
                <w:szCs w:val="24"/>
                <w:lang w:val="ro-RO"/>
              </w:rPr>
            </w:pPr>
            <w:proofErr w:type="spellStart"/>
            <w:r w:rsidRPr="00614F55">
              <w:rPr>
                <w:rFonts w:cs="Times New Roman"/>
                <w:b/>
                <w:color w:val="000000" w:themeColor="text1"/>
                <w:sz w:val="24"/>
                <w:szCs w:val="24"/>
                <w:lang w:val="ro-RO"/>
              </w:rPr>
              <w:t>Nastas</w:t>
            </w:r>
            <w:proofErr w:type="spellEnd"/>
            <w:r w:rsidRPr="00614F55">
              <w:rPr>
                <w:rFonts w:cs="Times New Roman"/>
                <w:b/>
                <w:color w:val="000000" w:themeColor="text1"/>
                <w:sz w:val="24"/>
                <w:szCs w:val="24"/>
                <w:lang w:val="ro-RO"/>
              </w:rPr>
              <w:t xml:space="preserve"> Igor</w:t>
            </w:r>
            <w:r w:rsidRPr="00614F55">
              <w:rPr>
                <w:rFonts w:cs="Times New Roman"/>
                <w:bCs/>
                <w:color w:val="000000" w:themeColor="text1"/>
                <w:sz w:val="24"/>
                <w:szCs w:val="24"/>
                <w:lang w:val="ro-RO"/>
              </w:rPr>
              <w:t>, dr. șt. med., conf. univ.</w:t>
            </w:r>
          </w:p>
        </w:tc>
      </w:tr>
      <w:tr w:rsidR="00BF2331" w:rsidRPr="009F770C"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 xml:space="preserve">Locația </w:t>
            </w:r>
          </w:p>
        </w:tc>
        <w:tc>
          <w:tcPr>
            <w:tcW w:w="6940" w:type="dxa"/>
          </w:tcPr>
          <w:p w:rsidR="00BF2331" w:rsidRPr="00614F55" w:rsidRDefault="00BF2331" w:rsidP="0020442A">
            <w:pPr>
              <w:rPr>
                <w:rFonts w:cs="Times New Roman"/>
                <w:sz w:val="24"/>
                <w:szCs w:val="24"/>
                <w:lang w:val="ro-RO"/>
              </w:rPr>
            </w:pPr>
            <w:r w:rsidRPr="00614F55">
              <w:rPr>
                <w:rFonts w:cs="Times New Roman"/>
                <w:sz w:val="24"/>
                <w:szCs w:val="24"/>
                <w:lang w:val="ro-RO"/>
              </w:rPr>
              <w:t>Catedra sănătate mintală, psihologie medicală și psihoterapie.</w:t>
            </w:r>
          </w:p>
          <w:p w:rsidR="00BF2331" w:rsidRPr="00614F55" w:rsidRDefault="00BF2331" w:rsidP="0020442A">
            <w:pPr>
              <w:rPr>
                <w:rFonts w:cs="Times New Roman"/>
                <w:sz w:val="24"/>
                <w:szCs w:val="24"/>
                <w:lang w:val="ro-RO"/>
              </w:rPr>
            </w:pPr>
            <w:proofErr w:type="spellStart"/>
            <w:r w:rsidRPr="00614F55">
              <w:rPr>
                <w:rFonts w:cs="Times New Roman"/>
                <w:sz w:val="24"/>
                <w:szCs w:val="24"/>
                <w:lang w:val="ro-RO"/>
              </w:rPr>
              <w:t>mun.Chișinău</w:t>
            </w:r>
            <w:proofErr w:type="spellEnd"/>
            <w:r w:rsidRPr="00614F55">
              <w:rPr>
                <w:rFonts w:cs="Times New Roman"/>
                <w:sz w:val="24"/>
                <w:szCs w:val="24"/>
                <w:lang w:val="ro-RO"/>
              </w:rPr>
              <w:t xml:space="preserve">, </w:t>
            </w:r>
            <w:proofErr w:type="spellStart"/>
            <w:r w:rsidRPr="00614F55">
              <w:rPr>
                <w:rFonts w:cs="Times New Roman"/>
                <w:sz w:val="24"/>
                <w:szCs w:val="24"/>
                <w:lang w:val="ro-RO"/>
              </w:rPr>
              <w:t>bd.Ștefan</w:t>
            </w:r>
            <w:proofErr w:type="spellEnd"/>
            <w:r w:rsidRPr="00614F55">
              <w:rPr>
                <w:rFonts w:cs="Times New Roman"/>
                <w:sz w:val="24"/>
                <w:szCs w:val="24"/>
                <w:lang w:val="ro-RO"/>
              </w:rPr>
              <w:t xml:space="preserve"> cel Mare și </w:t>
            </w:r>
            <w:proofErr w:type="spellStart"/>
            <w:r w:rsidRPr="00614F55">
              <w:rPr>
                <w:rFonts w:cs="Times New Roman"/>
                <w:sz w:val="24"/>
                <w:szCs w:val="24"/>
                <w:lang w:val="ro-RO"/>
              </w:rPr>
              <w:t>Sfînt</w:t>
            </w:r>
            <w:proofErr w:type="spellEnd"/>
            <w:r w:rsidRPr="00614F55">
              <w:rPr>
                <w:rFonts w:cs="Times New Roman"/>
                <w:sz w:val="24"/>
                <w:szCs w:val="24"/>
                <w:lang w:val="ro-RO"/>
              </w:rPr>
              <w:t>, 194-B, MD-2004</w:t>
            </w:r>
          </w:p>
          <w:p w:rsidR="00BF2331" w:rsidRPr="00614F55" w:rsidRDefault="00BF2331" w:rsidP="0020442A">
            <w:pPr>
              <w:rPr>
                <w:rFonts w:cs="Times New Roman"/>
                <w:sz w:val="24"/>
                <w:szCs w:val="24"/>
                <w:lang w:val="ro-RO"/>
              </w:rPr>
            </w:pPr>
            <w:r w:rsidRPr="00614F55">
              <w:rPr>
                <w:rFonts w:cs="Times New Roman"/>
                <w:sz w:val="24"/>
                <w:szCs w:val="24"/>
                <w:lang w:val="ro-RO"/>
              </w:rPr>
              <w:t xml:space="preserve">Spitalul clinic de psihiatrie, </w:t>
            </w:r>
            <w:proofErr w:type="spellStart"/>
            <w:r w:rsidRPr="00614F55">
              <w:rPr>
                <w:rFonts w:cs="Times New Roman"/>
                <w:sz w:val="24"/>
                <w:szCs w:val="24"/>
                <w:lang w:val="ro-RO"/>
              </w:rPr>
              <w:t>str.Costiujeni</w:t>
            </w:r>
            <w:proofErr w:type="spellEnd"/>
            <w:r w:rsidRPr="00614F55">
              <w:rPr>
                <w:rFonts w:cs="Times New Roman"/>
                <w:sz w:val="24"/>
                <w:szCs w:val="24"/>
                <w:lang w:val="ro-RO"/>
              </w:rPr>
              <w:t xml:space="preserve"> 3.</w:t>
            </w:r>
          </w:p>
        </w:tc>
      </w:tr>
      <w:tr w:rsidR="00BF2331" w:rsidRPr="009F770C" w:rsidTr="0020442A">
        <w:tc>
          <w:tcPr>
            <w:tcW w:w="2405" w:type="dxa"/>
            <w:vMerge w:val="restart"/>
          </w:tcPr>
          <w:p w:rsidR="00BF2331" w:rsidRPr="00614F55" w:rsidRDefault="00BF2331" w:rsidP="0020442A">
            <w:pPr>
              <w:rPr>
                <w:rFonts w:cs="Times New Roman"/>
                <w:color w:val="FF0000"/>
                <w:sz w:val="24"/>
                <w:szCs w:val="24"/>
                <w:lang w:val="ro-RO"/>
              </w:rPr>
            </w:pPr>
            <w:r w:rsidRPr="00614F55">
              <w:rPr>
                <w:rFonts w:cs="Times New Roman"/>
                <w:color w:val="000000" w:themeColor="text1"/>
                <w:sz w:val="24"/>
                <w:szCs w:val="24"/>
                <w:lang w:val="ro-RO"/>
              </w:rPr>
              <w:t>Condiționări și exigențe prealabile de</w:t>
            </w:r>
            <w:r w:rsidRPr="00614F55">
              <w:rPr>
                <w:rFonts w:cs="Times New Roman"/>
                <w:color w:val="FF0000"/>
                <w:sz w:val="24"/>
                <w:szCs w:val="24"/>
                <w:lang w:val="ro-RO"/>
              </w:rPr>
              <w:t>:</w:t>
            </w:r>
          </w:p>
          <w:p w:rsidR="00BF2331" w:rsidRPr="00614F55" w:rsidRDefault="00BF2331" w:rsidP="0020442A">
            <w:pPr>
              <w:rPr>
                <w:rFonts w:cs="Times New Roman"/>
                <w:color w:val="FF0000"/>
                <w:sz w:val="24"/>
                <w:szCs w:val="24"/>
                <w:lang w:val="ro-RO"/>
              </w:rPr>
            </w:pPr>
          </w:p>
        </w:tc>
        <w:tc>
          <w:tcPr>
            <w:tcW w:w="6940" w:type="dxa"/>
          </w:tcPr>
          <w:p w:rsidR="00BF2331" w:rsidRPr="00614F55" w:rsidRDefault="00BF2331" w:rsidP="0020442A">
            <w:pPr>
              <w:pStyle w:val="BodyText"/>
              <w:spacing w:after="0"/>
              <w:contextualSpacing/>
              <w:jc w:val="both"/>
              <w:rPr>
                <w:rFonts w:ascii="Times New Roman" w:hAnsi="Times New Roman" w:cs="Times New Roman"/>
                <w:sz w:val="24"/>
                <w:szCs w:val="24"/>
                <w:lang w:val="ro-RO"/>
              </w:rPr>
            </w:pPr>
            <w:r w:rsidRPr="00614F55">
              <w:rPr>
                <w:rFonts w:ascii="Times New Roman" w:hAnsi="Times New Roman" w:cs="Times New Roman"/>
                <w:sz w:val="24"/>
                <w:szCs w:val="24"/>
                <w:lang w:val="ro-RO"/>
              </w:rPr>
              <w:t>Pentru însușirea eficientă și realizarea cu succes a activităților masteranzi trebuie să posede cunoștințe în domeniul legislației naționale, internaționale în sănătatea mintală.</w:t>
            </w:r>
          </w:p>
        </w:tc>
      </w:tr>
      <w:tr w:rsidR="00BF2331" w:rsidRPr="009F770C" w:rsidTr="0020442A">
        <w:tc>
          <w:tcPr>
            <w:tcW w:w="2405" w:type="dxa"/>
            <w:vMerge/>
          </w:tcPr>
          <w:p w:rsidR="00BF2331" w:rsidRPr="00614F55" w:rsidRDefault="00BF2331" w:rsidP="0020442A">
            <w:pPr>
              <w:rPr>
                <w:rFonts w:cs="Times New Roman"/>
                <w:sz w:val="24"/>
                <w:szCs w:val="24"/>
                <w:lang w:val="ro-RO"/>
              </w:rPr>
            </w:pPr>
          </w:p>
        </w:tc>
        <w:tc>
          <w:tcPr>
            <w:tcW w:w="6940" w:type="dxa"/>
          </w:tcPr>
          <w:p w:rsidR="00BF2331" w:rsidRPr="00614F55" w:rsidRDefault="00BF2331" w:rsidP="0020442A">
            <w:pPr>
              <w:pStyle w:val="ListParagraph"/>
              <w:widowControl w:val="0"/>
              <w:ind w:left="0"/>
              <w:contextualSpacing w:val="0"/>
              <w:jc w:val="both"/>
              <w:rPr>
                <w:rFonts w:cs="Times New Roman"/>
                <w:sz w:val="24"/>
                <w:szCs w:val="24"/>
                <w:lang w:val="ro-RO"/>
              </w:rPr>
            </w:pPr>
          </w:p>
        </w:tc>
      </w:tr>
      <w:tr w:rsidR="00BF2331" w:rsidRPr="009F770C" w:rsidTr="0020442A">
        <w:tc>
          <w:tcPr>
            <w:tcW w:w="2405" w:type="dxa"/>
            <w:shd w:val="clear" w:color="auto" w:fill="D9E2F3" w:themeFill="accent1" w:themeFillTint="33"/>
          </w:tcPr>
          <w:p w:rsidR="00BF2331" w:rsidRPr="00614F55" w:rsidRDefault="00BF2331" w:rsidP="0020442A">
            <w:pPr>
              <w:rPr>
                <w:rFonts w:cs="Times New Roman"/>
                <w:sz w:val="24"/>
                <w:szCs w:val="24"/>
                <w:lang w:val="ro-RO"/>
              </w:rPr>
            </w:pPr>
            <w:r w:rsidRPr="00614F55">
              <w:rPr>
                <w:rFonts w:cs="Times New Roman"/>
                <w:sz w:val="24"/>
                <w:szCs w:val="24"/>
                <w:lang w:val="ro-RO"/>
              </w:rPr>
              <w:t>Misiunea disciplinei</w:t>
            </w:r>
          </w:p>
        </w:tc>
        <w:tc>
          <w:tcPr>
            <w:tcW w:w="6940" w:type="dxa"/>
          </w:tcPr>
          <w:p w:rsidR="00BF2331" w:rsidRPr="00614F55" w:rsidRDefault="00BF2331" w:rsidP="0020442A">
            <w:pPr>
              <w:pStyle w:val="BodyTextIndent2"/>
              <w:ind w:left="0"/>
              <w:jc w:val="both"/>
              <w:rPr>
                <w:sz w:val="24"/>
                <w:szCs w:val="24"/>
              </w:rPr>
            </w:pPr>
            <w:r w:rsidRPr="00614F55">
              <w:rPr>
                <w:sz w:val="24"/>
                <w:szCs w:val="24"/>
              </w:rPr>
              <w:t>Misiunea cursului este de a educa și sensibiliza cu privire la importanța drepturilor omului în contextul sănătății mintale, promovând o înțelegere aprofundată a rolului legislației, politicilor și practicilor în protejarea și îmbunătățirea bunăstării persoanelor cu probleme de sănătate mintală.</w:t>
            </w:r>
          </w:p>
        </w:tc>
      </w:tr>
      <w:tr w:rsidR="00BF2331" w:rsidRPr="00614F55"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t>Tematica prezentată</w:t>
            </w:r>
          </w:p>
          <w:p w:rsidR="00BF2331" w:rsidRPr="00614F55" w:rsidRDefault="00BF2331" w:rsidP="0020442A">
            <w:pPr>
              <w:rPr>
                <w:rFonts w:cs="Times New Roman"/>
                <w:sz w:val="24"/>
                <w:szCs w:val="24"/>
                <w:lang w:val="ro-RO"/>
              </w:rPr>
            </w:pPr>
          </w:p>
        </w:tc>
        <w:tc>
          <w:tcPr>
            <w:tcW w:w="6940" w:type="dxa"/>
          </w:tcPr>
          <w:p w:rsidR="00BF2331" w:rsidRPr="00614F55" w:rsidRDefault="00BF2331" w:rsidP="0020442A">
            <w:pPr>
              <w:jc w:val="both"/>
              <w:rPr>
                <w:rFonts w:cs="Times New Roman"/>
                <w:sz w:val="24"/>
                <w:szCs w:val="24"/>
                <w:lang w:val="ro-RO"/>
              </w:rPr>
            </w:pPr>
            <w:r w:rsidRPr="00614F55">
              <w:rPr>
                <w:rFonts w:cs="Times New Roman"/>
                <w:sz w:val="24"/>
                <w:szCs w:val="24"/>
                <w:lang w:val="ro-RO"/>
              </w:rPr>
              <w:t>Cursul "</w:t>
            </w:r>
            <w:r w:rsidRPr="00614F55">
              <w:rPr>
                <w:rFonts w:cs="Times New Roman"/>
                <w:color w:val="222222"/>
                <w:sz w:val="24"/>
                <w:szCs w:val="24"/>
                <w:highlight w:val="white"/>
                <w:lang w:val="ro-RO"/>
              </w:rPr>
              <w:t xml:space="preserve"> Drepturile Omului și Legislația în sănătatea mintală</w:t>
            </w:r>
            <w:r w:rsidRPr="00614F55">
              <w:rPr>
                <w:rFonts w:cs="Times New Roman"/>
                <w:sz w:val="24"/>
                <w:szCs w:val="24"/>
                <w:lang w:val="ro-RO"/>
              </w:rPr>
              <w:t>" cuprinde următoarele tematici: Drepturile omului - noțiune și concept. Înțelegerea rolului drepturilor omului. Contextul sănătății mintale și drepturilor omului. Perspectivă istorică asupra problemelor de sănătate mintală. Înțelegerea contemporană a problemelor de sănătate mintală.</w:t>
            </w:r>
          </w:p>
          <w:p w:rsidR="00BF2331" w:rsidRPr="00614F55" w:rsidRDefault="00BF2331" w:rsidP="0020442A">
            <w:pPr>
              <w:jc w:val="both"/>
              <w:rPr>
                <w:rFonts w:cs="Times New Roman"/>
                <w:sz w:val="24"/>
                <w:szCs w:val="24"/>
                <w:lang w:val="ro-RO"/>
              </w:rPr>
            </w:pPr>
            <w:r w:rsidRPr="00614F55">
              <w:rPr>
                <w:rFonts w:cs="Times New Roman"/>
                <w:sz w:val="24"/>
                <w:szCs w:val="24"/>
                <w:lang w:val="ro-RO"/>
              </w:rPr>
              <w:t>Rolul legislației în domeniul sănătății mintale în promovarea drepturilor omului. Rolul politicilor și planurilor de sănătate mintală în promovarea drepturilor omului. Persoanele cu probleme de sănătate mintală și societatea. Conceptul de stigma și discriminare. Terminologie.</w:t>
            </w:r>
          </w:p>
          <w:p w:rsidR="00BF2331" w:rsidRPr="00614F55" w:rsidRDefault="00BF2331" w:rsidP="0020442A">
            <w:pPr>
              <w:jc w:val="both"/>
              <w:rPr>
                <w:rFonts w:cs="Times New Roman"/>
                <w:sz w:val="24"/>
                <w:szCs w:val="24"/>
                <w:lang w:val="ro-RO"/>
              </w:rPr>
            </w:pPr>
            <w:r w:rsidRPr="00614F55">
              <w:rPr>
                <w:rFonts w:cs="Times New Roman"/>
                <w:sz w:val="24"/>
                <w:szCs w:val="24"/>
                <w:lang w:val="ro-RO"/>
              </w:rPr>
              <w:t>Legislația internațională ce ține de drepturile omului și sănătate mintală.</w:t>
            </w:r>
          </w:p>
          <w:p w:rsidR="00BF2331" w:rsidRPr="00614F55" w:rsidRDefault="00BF2331" w:rsidP="0020442A">
            <w:pPr>
              <w:jc w:val="both"/>
              <w:rPr>
                <w:rFonts w:cs="Times New Roman"/>
                <w:sz w:val="24"/>
                <w:szCs w:val="24"/>
                <w:lang w:val="ro-RO"/>
              </w:rPr>
            </w:pPr>
            <w:r w:rsidRPr="00614F55">
              <w:rPr>
                <w:rFonts w:cs="Times New Roman"/>
                <w:sz w:val="24"/>
                <w:szCs w:val="24"/>
                <w:lang w:val="ro-RO"/>
              </w:rPr>
              <w:t>Aspecte de drepturile omului în legislația națională în domeniul sănătății mintale. Aspecte civile și penale în sănătate mintală și drepturile omului.</w:t>
            </w:r>
          </w:p>
          <w:p w:rsidR="00BF2331" w:rsidRPr="00614F55" w:rsidRDefault="00BF2331" w:rsidP="0020442A">
            <w:pPr>
              <w:jc w:val="both"/>
              <w:rPr>
                <w:rFonts w:cs="Times New Roman"/>
                <w:sz w:val="24"/>
                <w:szCs w:val="24"/>
                <w:lang w:val="ro-RO"/>
              </w:rPr>
            </w:pPr>
            <w:r w:rsidRPr="00614F55">
              <w:rPr>
                <w:rFonts w:cs="Times New Roman"/>
                <w:sz w:val="24"/>
                <w:szCs w:val="24"/>
                <w:lang w:val="ro-RO"/>
              </w:rPr>
              <w:t>Accesul la serviciile de sănătate mintală. Tipuri de tratament în cadrul sistemului de sănătate mintală, din perspectiva drepturilor omului.</w:t>
            </w:r>
          </w:p>
          <w:p w:rsidR="00BF2331" w:rsidRPr="00614F55" w:rsidRDefault="00BF2331" w:rsidP="0020442A">
            <w:pPr>
              <w:jc w:val="both"/>
              <w:rPr>
                <w:rFonts w:cs="Times New Roman"/>
                <w:sz w:val="24"/>
                <w:szCs w:val="24"/>
                <w:lang w:val="ro-RO"/>
              </w:rPr>
            </w:pPr>
            <w:r w:rsidRPr="00614F55">
              <w:rPr>
                <w:rFonts w:cs="Times New Roman"/>
                <w:sz w:val="24"/>
                <w:szCs w:val="24"/>
                <w:lang w:val="ro-RO"/>
              </w:rPr>
              <w:t>Aspecte de drepturile omului în procesul de admitere și externare din spital; în cadrul serviciilor comunitare de sănătate mintală. Consimțământ informat și suport în luarea deciziilor.</w:t>
            </w:r>
          </w:p>
          <w:p w:rsidR="00BF2331" w:rsidRPr="00614F55" w:rsidRDefault="00BF2331" w:rsidP="0020442A">
            <w:pPr>
              <w:jc w:val="both"/>
              <w:rPr>
                <w:rFonts w:cs="Times New Roman"/>
                <w:sz w:val="24"/>
                <w:szCs w:val="24"/>
                <w:lang w:val="ro-RO"/>
              </w:rPr>
            </w:pPr>
            <w:r w:rsidRPr="00614F55">
              <w:rPr>
                <w:rFonts w:cs="Times New Roman"/>
                <w:sz w:val="24"/>
                <w:szCs w:val="24"/>
                <w:lang w:val="ro-RO"/>
              </w:rPr>
              <w:t>Integrarea serviciilor de sănătate mintală în serviciile generale de sănătate ca aspect al drepturilor omului. Servicii rezidențiale pentru persoane cu probleme de sănătate mintală și drepturile omului. Procesul de dezinstituționalizare.</w:t>
            </w:r>
          </w:p>
        </w:tc>
      </w:tr>
      <w:tr w:rsidR="00BF2331" w:rsidRPr="009F770C" w:rsidTr="0020442A">
        <w:tc>
          <w:tcPr>
            <w:tcW w:w="2405" w:type="dxa"/>
            <w:shd w:val="clear" w:color="auto" w:fill="D9E2F3" w:themeFill="accent1" w:themeFillTint="33"/>
          </w:tcPr>
          <w:p w:rsidR="00BF2331" w:rsidRPr="00614F55" w:rsidRDefault="00BF2331" w:rsidP="0020442A">
            <w:pPr>
              <w:rPr>
                <w:rFonts w:cs="Times New Roman"/>
                <w:sz w:val="24"/>
                <w:szCs w:val="24"/>
                <w:lang w:val="ro-RO"/>
              </w:rPr>
            </w:pPr>
            <w:r w:rsidRPr="00614F55">
              <w:rPr>
                <w:rFonts w:cs="Times New Roman"/>
                <w:sz w:val="24"/>
                <w:szCs w:val="24"/>
                <w:lang w:val="ro-RO"/>
              </w:rPr>
              <w:t>Finalități de studiu</w:t>
            </w:r>
          </w:p>
          <w:p w:rsidR="00BF2331" w:rsidRPr="00614F55" w:rsidRDefault="00BF2331" w:rsidP="0020442A">
            <w:pPr>
              <w:rPr>
                <w:rFonts w:cs="Times New Roman"/>
                <w:sz w:val="24"/>
                <w:szCs w:val="24"/>
                <w:lang w:val="ro-RO"/>
              </w:rPr>
            </w:pPr>
          </w:p>
        </w:tc>
        <w:tc>
          <w:tcPr>
            <w:tcW w:w="6940" w:type="dxa"/>
          </w:tcPr>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Cunoașterea legislația națională și internațională în domeniul sănătății mintale,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Manifestarea atitudine pozitivă </w:t>
            </w:r>
            <w:proofErr w:type="spellStart"/>
            <w:r w:rsidRPr="00614F55">
              <w:rPr>
                <w:rFonts w:ascii="Times New Roman" w:hAnsi="Times New Roman"/>
                <w:sz w:val="24"/>
                <w:szCs w:val="24"/>
              </w:rPr>
              <w:t>şi</w:t>
            </w:r>
            <w:proofErr w:type="spellEnd"/>
            <w:r w:rsidRPr="00614F55">
              <w:rPr>
                <w:rFonts w:ascii="Times New Roman" w:hAnsi="Times New Roman"/>
                <w:sz w:val="24"/>
                <w:szCs w:val="24"/>
              </w:rPr>
              <w:t xml:space="preserve"> toleranță </w:t>
            </w:r>
            <w:proofErr w:type="spellStart"/>
            <w:r w:rsidRPr="00614F55">
              <w:rPr>
                <w:rFonts w:ascii="Times New Roman" w:hAnsi="Times New Roman"/>
                <w:sz w:val="24"/>
                <w:szCs w:val="24"/>
              </w:rPr>
              <w:t>faţă</w:t>
            </w:r>
            <w:proofErr w:type="spellEnd"/>
            <w:r w:rsidRPr="00614F55">
              <w:rPr>
                <w:rFonts w:ascii="Times New Roman" w:hAnsi="Times New Roman"/>
                <w:sz w:val="24"/>
                <w:szCs w:val="24"/>
              </w:rPr>
              <w:t xml:space="preserve"> toate categoriile de beneficiari,</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lastRenderedPageBreak/>
              <w:t xml:space="preserve">Manifestarea </w:t>
            </w:r>
            <w:proofErr w:type="spellStart"/>
            <w:r w:rsidRPr="00614F55">
              <w:rPr>
                <w:rFonts w:ascii="Times New Roman" w:hAnsi="Times New Roman"/>
                <w:sz w:val="24"/>
                <w:szCs w:val="24"/>
              </w:rPr>
              <w:t>abilităţilor</w:t>
            </w:r>
            <w:proofErr w:type="spellEnd"/>
            <w:r w:rsidRPr="00614F55">
              <w:rPr>
                <w:rFonts w:ascii="Times New Roman" w:hAnsi="Times New Roman"/>
                <w:sz w:val="24"/>
                <w:szCs w:val="24"/>
              </w:rPr>
              <w:t xml:space="preserve"> de comunicare eficientă cu implicarea termenilor de drepturile omului.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Transferarea </w:t>
            </w:r>
            <w:proofErr w:type="spellStart"/>
            <w:r w:rsidRPr="00614F55">
              <w:rPr>
                <w:rFonts w:ascii="Times New Roman" w:hAnsi="Times New Roman"/>
                <w:sz w:val="24"/>
                <w:szCs w:val="24"/>
              </w:rPr>
              <w:t>cunoştinţelor</w:t>
            </w:r>
            <w:proofErr w:type="spellEnd"/>
            <w:r w:rsidRPr="00614F55">
              <w:rPr>
                <w:rFonts w:ascii="Times New Roman" w:hAnsi="Times New Roman"/>
                <w:sz w:val="24"/>
                <w:szCs w:val="24"/>
              </w:rPr>
              <w:t xml:space="preserve"> teoretice în </w:t>
            </w:r>
            <w:proofErr w:type="spellStart"/>
            <w:r w:rsidRPr="00614F55">
              <w:rPr>
                <w:rFonts w:ascii="Times New Roman" w:hAnsi="Times New Roman"/>
                <w:sz w:val="24"/>
                <w:szCs w:val="24"/>
              </w:rPr>
              <w:t>situaţii</w:t>
            </w:r>
            <w:proofErr w:type="spellEnd"/>
            <w:r w:rsidRPr="00614F55">
              <w:rPr>
                <w:rFonts w:ascii="Times New Roman" w:hAnsi="Times New Roman"/>
                <w:sz w:val="24"/>
                <w:szCs w:val="24"/>
              </w:rPr>
              <w:t xml:space="preserve"> reale ale </w:t>
            </w:r>
            <w:proofErr w:type="spellStart"/>
            <w:r w:rsidRPr="00614F55">
              <w:rPr>
                <w:rFonts w:ascii="Times New Roman" w:hAnsi="Times New Roman"/>
                <w:sz w:val="24"/>
                <w:szCs w:val="24"/>
              </w:rPr>
              <w:t>vieţii</w:t>
            </w:r>
            <w:proofErr w:type="spellEnd"/>
            <w:r w:rsidRPr="00614F55">
              <w:rPr>
                <w:rFonts w:ascii="Times New Roman" w:hAnsi="Times New Roman"/>
                <w:sz w:val="24"/>
                <w:szCs w:val="24"/>
              </w:rPr>
              <w:t>.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Analizarea </w:t>
            </w:r>
            <w:proofErr w:type="spellStart"/>
            <w:r w:rsidRPr="00614F55">
              <w:rPr>
                <w:rFonts w:ascii="Times New Roman" w:hAnsi="Times New Roman"/>
                <w:sz w:val="24"/>
                <w:szCs w:val="24"/>
              </w:rPr>
              <w:t>şi</w:t>
            </w:r>
            <w:proofErr w:type="spellEnd"/>
            <w:r w:rsidRPr="00614F55">
              <w:rPr>
                <w:rFonts w:ascii="Times New Roman" w:hAnsi="Times New Roman"/>
                <w:sz w:val="24"/>
                <w:szCs w:val="24"/>
              </w:rPr>
              <w:t xml:space="preserve"> interpretarea abordărilor, proceselor, fenomenelor, </w:t>
            </w:r>
            <w:proofErr w:type="spellStart"/>
            <w:r w:rsidRPr="00614F55">
              <w:rPr>
                <w:rFonts w:ascii="Times New Roman" w:hAnsi="Times New Roman"/>
                <w:sz w:val="24"/>
                <w:szCs w:val="24"/>
              </w:rPr>
              <w:t>experienţelor</w:t>
            </w:r>
            <w:proofErr w:type="spellEnd"/>
            <w:r w:rsidRPr="00614F55">
              <w:rPr>
                <w:rFonts w:ascii="Times New Roman" w:hAnsi="Times New Roman"/>
                <w:sz w:val="24"/>
                <w:szCs w:val="24"/>
              </w:rPr>
              <w:t xml:space="preserve"> persoanelor cu probleme de sănătate mintală din perspectiva drepturilor omului.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Elaborarea strategiilor creative pentru </w:t>
            </w:r>
            <w:proofErr w:type="spellStart"/>
            <w:r w:rsidRPr="00614F55">
              <w:rPr>
                <w:rFonts w:ascii="Times New Roman" w:hAnsi="Times New Roman"/>
                <w:sz w:val="24"/>
                <w:szCs w:val="24"/>
              </w:rPr>
              <w:t>soluţionarea</w:t>
            </w:r>
            <w:proofErr w:type="spellEnd"/>
            <w:r w:rsidRPr="00614F55">
              <w:rPr>
                <w:rFonts w:ascii="Times New Roman" w:hAnsi="Times New Roman"/>
                <w:sz w:val="24"/>
                <w:szCs w:val="24"/>
              </w:rPr>
              <w:t xml:space="preserve"> problemelor de drepturile omului.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Stabilirea conexiunii între acest modul </w:t>
            </w:r>
            <w:proofErr w:type="spellStart"/>
            <w:r w:rsidRPr="00614F55">
              <w:rPr>
                <w:rFonts w:ascii="Times New Roman" w:hAnsi="Times New Roman"/>
                <w:sz w:val="24"/>
                <w:szCs w:val="24"/>
              </w:rPr>
              <w:t>şi</w:t>
            </w:r>
            <w:proofErr w:type="spellEnd"/>
            <w:r w:rsidRPr="00614F55">
              <w:rPr>
                <w:rFonts w:ascii="Times New Roman" w:hAnsi="Times New Roman"/>
                <w:sz w:val="24"/>
                <w:szCs w:val="24"/>
              </w:rPr>
              <w:t xml:space="preserve"> domeniul profesional ales.</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Cooperarea în realizarea unor proiecte la nivel de </w:t>
            </w:r>
            <w:proofErr w:type="spellStart"/>
            <w:r w:rsidRPr="00614F55">
              <w:rPr>
                <w:rFonts w:ascii="Times New Roman" w:hAnsi="Times New Roman"/>
                <w:sz w:val="24"/>
                <w:szCs w:val="24"/>
              </w:rPr>
              <w:t>instituţie</w:t>
            </w:r>
            <w:proofErr w:type="spellEnd"/>
            <w:r w:rsidRPr="00614F55">
              <w:rPr>
                <w:rFonts w:ascii="Times New Roman" w:hAnsi="Times New Roman"/>
                <w:sz w:val="24"/>
                <w:szCs w:val="24"/>
              </w:rPr>
              <w:t>/comunitate. </w:t>
            </w:r>
          </w:p>
          <w:p w:rsidR="00BF2331" w:rsidRPr="00614F55" w:rsidRDefault="00BF2331" w:rsidP="0020442A">
            <w:pPr>
              <w:pStyle w:val="ListParagraph1"/>
              <w:spacing w:after="0" w:line="240" w:lineRule="auto"/>
              <w:ind w:left="0"/>
              <w:rPr>
                <w:rFonts w:ascii="Times New Roman" w:hAnsi="Times New Roman"/>
                <w:sz w:val="24"/>
                <w:szCs w:val="24"/>
              </w:rPr>
            </w:pPr>
            <w:r w:rsidRPr="00614F55">
              <w:rPr>
                <w:rFonts w:ascii="Times New Roman" w:hAnsi="Times New Roman"/>
                <w:sz w:val="24"/>
                <w:szCs w:val="24"/>
              </w:rPr>
              <w:t xml:space="preserve">Valorificarea </w:t>
            </w:r>
            <w:proofErr w:type="spellStart"/>
            <w:r w:rsidRPr="00614F55">
              <w:rPr>
                <w:rFonts w:ascii="Times New Roman" w:hAnsi="Times New Roman"/>
                <w:sz w:val="24"/>
                <w:szCs w:val="24"/>
              </w:rPr>
              <w:t>oportunităţilor</w:t>
            </w:r>
            <w:proofErr w:type="spellEnd"/>
            <w:r w:rsidRPr="00614F55">
              <w:rPr>
                <w:rFonts w:ascii="Times New Roman" w:hAnsi="Times New Roman"/>
                <w:sz w:val="24"/>
                <w:szCs w:val="24"/>
              </w:rPr>
              <w:t xml:space="preserve"> de dezvoltare personală </w:t>
            </w:r>
            <w:proofErr w:type="spellStart"/>
            <w:r w:rsidRPr="00614F55">
              <w:rPr>
                <w:rFonts w:ascii="Times New Roman" w:hAnsi="Times New Roman"/>
                <w:sz w:val="24"/>
                <w:szCs w:val="24"/>
              </w:rPr>
              <w:t>şi</w:t>
            </w:r>
            <w:proofErr w:type="spellEnd"/>
            <w:r w:rsidRPr="00614F55">
              <w:rPr>
                <w:rFonts w:ascii="Times New Roman" w:hAnsi="Times New Roman"/>
                <w:sz w:val="24"/>
                <w:szCs w:val="24"/>
              </w:rPr>
              <w:t xml:space="preserve"> integrare socioprofesională </w:t>
            </w:r>
            <w:proofErr w:type="spellStart"/>
            <w:r w:rsidRPr="00614F55">
              <w:rPr>
                <w:rFonts w:ascii="Times New Roman" w:hAnsi="Times New Roman"/>
                <w:sz w:val="24"/>
                <w:szCs w:val="24"/>
              </w:rPr>
              <w:t>reuşită</w:t>
            </w:r>
            <w:proofErr w:type="spellEnd"/>
            <w:r w:rsidRPr="00614F55">
              <w:rPr>
                <w:rFonts w:ascii="Times New Roman" w:hAnsi="Times New Roman"/>
                <w:sz w:val="24"/>
                <w:szCs w:val="24"/>
              </w:rPr>
              <w:t xml:space="preserve">. </w:t>
            </w:r>
          </w:p>
          <w:p w:rsidR="00BF2331" w:rsidRPr="00614F55" w:rsidRDefault="00BF2331" w:rsidP="0020442A">
            <w:pPr>
              <w:pStyle w:val="ListParagraph1"/>
              <w:ind w:left="0"/>
              <w:jc w:val="both"/>
              <w:rPr>
                <w:rFonts w:ascii="Times New Roman" w:hAnsi="Times New Roman"/>
                <w:sz w:val="24"/>
                <w:szCs w:val="24"/>
              </w:rPr>
            </w:pPr>
          </w:p>
        </w:tc>
      </w:tr>
      <w:tr w:rsidR="00BF2331" w:rsidRPr="009F770C" w:rsidTr="0020442A">
        <w:tc>
          <w:tcPr>
            <w:tcW w:w="2405" w:type="dxa"/>
          </w:tcPr>
          <w:p w:rsidR="00BF2331" w:rsidRPr="00614F55" w:rsidRDefault="00BF2331" w:rsidP="0020442A">
            <w:pPr>
              <w:rPr>
                <w:rFonts w:cs="Times New Roman"/>
                <w:sz w:val="24"/>
                <w:szCs w:val="24"/>
                <w:lang w:val="ro-RO"/>
              </w:rPr>
            </w:pPr>
            <w:r w:rsidRPr="00614F55">
              <w:rPr>
                <w:rFonts w:cs="Times New Roman"/>
                <w:sz w:val="24"/>
                <w:szCs w:val="24"/>
                <w:lang w:val="ro-RO"/>
              </w:rPr>
              <w:lastRenderedPageBreak/>
              <w:t>Manopere practice achiziționate</w:t>
            </w:r>
          </w:p>
          <w:p w:rsidR="00BF2331" w:rsidRPr="00614F55" w:rsidRDefault="00BF2331" w:rsidP="0020442A">
            <w:pPr>
              <w:rPr>
                <w:rFonts w:cs="Times New Roman"/>
                <w:sz w:val="24"/>
                <w:szCs w:val="24"/>
                <w:lang w:val="ro-RO"/>
              </w:rPr>
            </w:pPr>
          </w:p>
        </w:tc>
        <w:tc>
          <w:tcPr>
            <w:tcW w:w="6940" w:type="dxa"/>
          </w:tcPr>
          <w:p w:rsidR="00BF2331" w:rsidRPr="00614F55" w:rsidRDefault="00BF2331" w:rsidP="0020442A">
            <w:pPr>
              <w:pStyle w:val="NormalWeb"/>
              <w:spacing w:before="0" w:beforeAutospacing="0" w:after="0" w:afterAutospacing="0"/>
              <w:rPr>
                <w:color w:val="000000"/>
                <w:sz w:val="24"/>
                <w:szCs w:val="24"/>
                <w:lang w:val="ro-RO"/>
              </w:rPr>
            </w:pPr>
            <w:r w:rsidRPr="00614F55">
              <w:rPr>
                <w:color w:val="000000"/>
                <w:sz w:val="24"/>
                <w:szCs w:val="24"/>
                <w:lang w:val="ro-RO"/>
              </w:rPr>
              <w:t>Pregătirea și prezentarea unui referat</w:t>
            </w:r>
          </w:p>
          <w:p w:rsidR="00BF2331" w:rsidRPr="00614F55" w:rsidRDefault="00BF2331" w:rsidP="0020442A">
            <w:pPr>
              <w:pStyle w:val="NormalWeb"/>
              <w:spacing w:before="0" w:beforeAutospacing="0" w:after="0" w:afterAutospacing="0"/>
              <w:rPr>
                <w:color w:val="000000"/>
                <w:sz w:val="24"/>
                <w:szCs w:val="24"/>
                <w:lang w:val="ro-RO"/>
              </w:rPr>
            </w:pPr>
            <w:r w:rsidRPr="00614F55">
              <w:rPr>
                <w:color w:val="000000"/>
                <w:sz w:val="24"/>
                <w:szCs w:val="24"/>
                <w:lang w:val="ro-RO"/>
              </w:rPr>
              <w:t>Pregătirea și prezentarea unui studiu de caz</w:t>
            </w:r>
          </w:p>
        </w:tc>
      </w:tr>
      <w:tr w:rsidR="00BF2331" w:rsidRPr="00614F55" w:rsidTr="0020442A">
        <w:tc>
          <w:tcPr>
            <w:tcW w:w="2405" w:type="dxa"/>
            <w:shd w:val="clear" w:color="auto" w:fill="D9E2F3" w:themeFill="accent1" w:themeFillTint="33"/>
          </w:tcPr>
          <w:p w:rsidR="00BF2331" w:rsidRPr="00614F55" w:rsidRDefault="00BF2331" w:rsidP="0020442A">
            <w:pPr>
              <w:rPr>
                <w:rFonts w:cs="Times New Roman"/>
                <w:sz w:val="24"/>
                <w:szCs w:val="24"/>
                <w:lang w:val="ro-RO"/>
              </w:rPr>
            </w:pPr>
            <w:r w:rsidRPr="00614F55">
              <w:rPr>
                <w:rFonts w:cs="Times New Roman"/>
                <w:sz w:val="24"/>
                <w:szCs w:val="24"/>
                <w:lang w:val="ro-RO"/>
              </w:rPr>
              <w:t>Forma de evaluare</w:t>
            </w:r>
          </w:p>
        </w:tc>
        <w:tc>
          <w:tcPr>
            <w:tcW w:w="6940" w:type="dxa"/>
          </w:tcPr>
          <w:p w:rsidR="00BF2331" w:rsidRPr="00614F55" w:rsidRDefault="00BF2331" w:rsidP="0020442A">
            <w:pPr>
              <w:rPr>
                <w:rFonts w:cs="Times New Roman"/>
                <w:sz w:val="24"/>
                <w:szCs w:val="24"/>
                <w:lang w:val="ro-RO"/>
              </w:rPr>
            </w:pPr>
            <w:r w:rsidRPr="00614F55">
              <w:rPr>
                <w:rFonts w:cs="Times New Roman"/>
                <w:sz w:val="24"/>
                <w:szCs w:val="24"/>
                <w:lang w:val="ro-RO"/>
              </w:rPr>
              <w:t>Examen verbal</w:t>
            </w:r>
          </w:p>
        </w:tc>
      </w:tr>
    </w:tbl>
    <w:p w:rsidR="00BF2331" w:rsidRPr="00614F55" w:rsidRDefault="00BF2331" w:rsidP="00BF2331">
      <w:pPr>
        <w:rPr>
          <w:rFonts w:cs="Times New Roman"/>
          <w:lang w:val="ro-RO"/>
        </w:rPr>
      </w:pPr>
    </w:p>
    <w:p w:rsidR="00BF2331" w:rsidRDefault="00BF2331" w:rsidP="00BF2331">
      <w:pPr>
        <w:rPr>
          <w:rFonts w:cs="Times New Roman"/>
          <w:lang w:val="ro-RO"/>
        </w:rPr>
      </w:pPr>
    </w:p>
    <w:p w:rsidR="008211B8" w:rsidRDefault="008211B8"/>
    <w:sectPr w:rsidR="0082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31"/>
    <w:rsid w:val="008211B8"/>
    <w:rsid w:val="00BF2331"/>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A4FAF9-F805-AC43-B58D-D6BD306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31"/>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331"/>
    <w:pPr>
      <w:spacing w:before="100" w:beforeAutospacing="1" w:after="100" w:afterAutospacing="1"/>
      <w:contextualSpacing w:val="0"/>
    </w:pPr>
    <w:rPr>
      <w:rFonts w:eastAsia="Times New Roman" w:cs="Times New Roman"/>
    </w:rPr>
  </w:style>
  <w:style w:type="table" w:styleId="TableGrid">
    <w:name w:val="Table Grid"/>
    <w:basedOn w:val="TableNormal"/>
    <w:uiPriority w:val="39"/>
    <w:rsid w:val="00BF2331"/>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31"/>
    <w:pPr>
      <w:ind w:left="720"/>
    </w:pPr>
  </w:style>
  <w:style w:type="paragraph" w:styleId="BodyTextIndent2">
    <w:name w:val="Body Text Indent 2"/>
    <w:basedOn w:val="Normal"/>
    <w:link w:val="BodyTextIndent2Char"/>
    <w:rsid w:val="00BF2331"/>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BF2331"/>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BF2331"/>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BF2331"/>
    <w:rPr>
      <w:kern w:val="0"/>
      <w:sz w:val="22"/>
      <w:szCs w:val="22"/>
      <w:lang w:val="en-US"/>
      <w14:ligatures w14:val="none"/>
    </w:rPr>
  </w:style>
  <w:style w:type="paragraph" w:customStyle="1" w:styleId="ListParagraph1">
    <w:name w:val="List Paragraph1"/>
    <w:basedOn w:val="Normal"/>
    <w:uiPriority w:val="34"/>
    <w:qFormat/>
    <w:rsid w:val="00BF2331"/>
    <w:pPr>
      <w:spacing w:after="160" w:line="259" w:lineRule="auto"/>
      <w:ind w:left="720"/>
    </w:pPr>
    <w:rPr>
      <w:rFonts w:ascii="Calibri" w:eastAsia="Calibri" w:hAnsi="Calibri"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2024-03-13T11:22:00Z</dcterms:created>
  <dcterms:modified xsi:type="dcterms:W3CDTF">2024-03-13T11:22:00Z</dcterms:modified>
</cp:coreProperties>
</file>