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7F7" w:rsidRPr="00614F55" w:rsidRDefault="00B067F7" w:rsidP="00B067F7">
      <w:pPr>
        <w:jc w:val="center"/>
        <w:rPr>
          <w:rFonts w:cs="Times New Roman"/>
          <w:b/>
          <w:sz w:val="28"/>
          <w:szCs w:val="28"/>
          <w:lang w:val="ro-RO"/>
        </w:rPr>
      </w:pPr>
      <w:r w:rsidRPr="00614F55">
        <w:rPr>
          <w:rFonts w:cs="Times New Roman"/>
          <w:b/>
          <w:sz w:val="28"/>
          <w:szCs w:val="28"/>
          <w:lang w:val="ro-RO"/>
        </w:rPr>
        <w:t>S.02.O.006 PSIHIATRIA ADULTULUI ȘI COPILULUI</w:t>
      </w:r>
    </w:p>
    <w:p w:rsidR="00B067F7" w:rsidRPr="00614F55" w:rsidRDefault="00B067F7" w:rsidP="00B067F7">
      <w:pPr>
        <w:jc w:val="center"/>
        <w:rPr>
          <w:rFonts w:cs="Times New Roman"/>
          <w:b/>
          <w:lang w:val="ro-RO"/>
        </w:rPr>
      </w:pPr>
    </w:p>
    <w:tbl>
      <w:tblPr>
        <w:tblStyle w:val="TableGrid"/>
        <w:tblW w:w="0" w:type="auto"/>
        <w:tblLook w:val="04A0" w:firstRow="1" w:lastRow="0" w:firstColumn="1" w:lastColumn="0" w:noHBand="0" w:noVBand="1"/>
      </w:tblPr>
      <w:tblGrid>
        <w:gridCol w:w="2347"/>
        <w:gridCol w:w="6669"/>
      </w:tblGrid>
      <w:tr w:rsidR="00B067F7" w:rsidRPr="00614F55" w:rsidTr="0020442A">
        <w:tc>
          <w:tcPr>
            <w:tcW w:w="2405" w:type="dxa"/>
            <w:shd w:val="clear" w:color="auto" w:fill="D9E2F3" w:themeFill="accent1" w:themeFillTint="33"/>
          </w:tcPr>
          <w:p w:rsidR="00B067F7" w:rsidRPr="00614F55" w:rsidRDefault="00B067F7" w:rsidP="0020442A">
            <w:pPr>
              <w:rPr>
                <w:rFonts w:cs="Times New Roman"/>
                <w:sz w:val="24"/>
                <w:szCs w:val="24"/>
                <w:lang w:val="ro-RO"/>
              </w:rPr>
            </w:pPr>
            <w:r w:rsidRPr="00614F55">
              <w:rPr>
                <w:rFonts w:cs="Times New Roman"/>
                <w:sz w:val="24"/>
                <w:szCs w:val="24"/>
                <w:lang w:val="ro-RO"/>
              </w:rPr>
              <w:t>Denumirea disciplinei</w:t>
            </w:r>
          </w:p>
        </w:tc>
        <w:tc>
          <w:tcPr>
            <w:tcW w:w="6940" w:type="dxa"/>
          </w:tcPr>
          <w:p w:rsidR="00B067F7" w:rsidRPr="00614F55" w:rsidRDefault="00B067F7" w:rsidP="0020442A">
            <w:pPr>
              <w:rPr>
                <w:rFonts w:cs="Times New Roman"/>
                <w:b/>
                <w:bCs/>
                <w:iCs/>
                <w:color w:val="222222"/>
                <w:sz w:val="24"/>
                <w:szCs w:val="24"/>
                <w:lang w:val="ro-RO"/>
              </w:rPr>
            </w:pPr>
            <w:r w:rsidRPr="00614F55">
              <w:rPr>
                <w:rFonts w:cs="Times New Roman"/>
                <w:b/>
                <w:bCs/>
                <w:iCs/>
                <w:color w:val="222222"/>
                <w:sz w:val="24"/>
                <w:szCs w:val="24"/>
                <w:lang w:val="ro-RO"/>
              </w:rPr>
              <w:t>Psihiatria adultului și copilului</w:t>
            </w:r>
          </w:p>
        </w:tc>
      </w:tr>
      <w:tr w:rsidR="00B067F7" w:rsidRPr="00614F55" w:rsidTr="0020442A">
        <w:tc>
          <w:tcPr>
            <w:tcW w:w="2405" w:type="dxa"/>
          </w:tcPr>
          <w:p w:rsidR="00B067F7" w:rsidRPr="00614F55" w:rsidRDefault="00B067F7" w:rsidP="0020442A">
            <w:pPr>
              <w:rPr>
                <w:rFonts w:cs="Times New Roman"/>
                <w:sz w:val="24"/>
                <w:szCs w:val="24"/>
                <w:lang w:val="ro-RO"/>
              </w:rPr>
            </w:pPr>
            <w:r w:rsidRPr="00614F55">
              <w:rPr>
                <w:rFonts w:cs="Times New Roman"/>
                <w:sz w:val="24"/>
                <w:szCs w:val="24"/>
                <w:lang w:val="ro-RO"/>
              </w:rPr>
              <w:t xml:space="preserve">Tipul </w:t>
            </w:r>
          </w:p>
        </w:tc>
        <w:tc>
          <w:tcPr>
            <w:tcW w:w="6940" w:type="dxa"/>
          </w:tcPr>
          <w:p w:rsidR="00B067F7" w:rsidRPr="00614F55" w:rsidRDefault="00B067F7" w:rsidP="0020442A">
            <w:pPr>
              <w:rPr>
                <w:rFonts w:cs="Times New Roman"/>
                <w:sz w:val="24"/>
                <w:szCs w:val="24"/>
                <w:lang w:val="ro-RO"/>
              </w:rPr>
            </w:pPr>
            <w:r w:rsidRPr="00614F55">
              <w:rPr>
                <w:rFonts w:cs="Times New Roman"/>
                <w:sz w:val="24"/>
                <w:szCs w:val="24"/>
                <w:lang w:val="ro-RO"/>
              </w:rPr>
              <w:t>Obligatoriu</w:t>
            </w:r>
          </w:p>
        </w:tc>
      </w:tr>
      <w:tr w:rsidR="00B067F7" w:rsidRPr="00614F55" w:rsidTr="0020442A">
        <w:tc>
          <w:tcPr>
            <w:tcW w:w="2405" w:type="dxa"/>
          </w:tcPr>
          <w:p w:rsidR="00B067F7" w:rsidRPr="00614F55" w:rsidRDefault="00B067F7" w:rsidP="0020442A">
            <w:pPr>
              <w:rPr>
                <w:rFonts w:cs="Times New Roman"/>
                <w:sz w:val="24"/>
                <w:szCs w:val="24"/>
                <w:lang w:val="ro-RO"/>
              </w:rPr>
            </w:pPr>
            <w:r w:rsidRPr="00614F55">
              <w:rPr>
                <w:rFonts w:cs="Times New Roman"/>
                <w:sz w:val="24"/>
                <w:szCs w:val="24"/>
                <w:lang w:val="ro-RO"/>
              </w:rPr>
              <w:t>Anul de studii</w:t>
            </w:r>
          </w:p>
        </w:tc>
        <w:tc>
          <w:tcPr>
            <w:tcW w:w="6940" w:type="dxa"/>
          </w:tcPr>
          <w:p w:rsidR="00B067F7" w:rsidRPr="00614F55" w:rsidRDefault="00B067F7" w:rsidP="0020442A">
            <w:pPr>
              <w:rPr>
                <w:rFonts w:cs="Times New Roman"/>
                <w:sz w:val="24"/>
                <w:szCs w:val="24"/>
                <w:lang w:val="ro-RO"/>
              </w:rPr>
            </w:pPr>
            <w:r w:rsidRPr="00614F55">
              <w:rPr>
                <w:rFonts w:cs="Times New Roman"/>
                <w:sz w:val="24"/>
                <w:szCs w:val="24"/>
                <w:lang w:val="ro-RO"/>
              </w:rPr>
              <w:t xml:space="preserve">I, </w:t>
            </w:r>
            <w:proofErr w:type="spellStart"/>
            <w:r w:rsidRPr="00614F55">
              <w:rPr>
                <w:rFonts w:cs="Times New Roman"/>
                <w:sz w:val="24"/>
                <w:szCs w:val="24"/>
                <w:lang w:val="ro-RO"/>
              </w:rPr>
              <w:t>sem.II</w:t>
            </w:r>
            <w:proofErr w:type="spellEnd"/>
          </w:p>
        </w:tc>
      </w:tr>
      <w:tr w:rsidR="00B067F7" w:rsidRPr="00614F55" w:rsidTr="0020442A">
        <w:tc>
          <w:tcPr>
            <w:tcW w:w="2405" w:type="dxa"/>
          </w:tcPr>
          <w:p w:rsidR="00B067F7" w:rsidRPr="00614F55" w:rsidRDefault="00B067F7" w:rsidP="0020442A">
            <w:pPr>
              <w:rPr>
                <w:rFonts w:cs="Times New Roman"/>
                <w:sz w:val="24"/>
                <w:szCs w:val="24"/>
                <w:lang w:val="ro-RO"/>
              </w:rPr>
            </w:pPr>
            <w:r w:rsidRPr="00614F55">
              <w:rPr>
                <w:rFonts w:cs="Times New Roman"/>
                <w:sz w:val="24"/>
                <w:szCs w:val="24"/>
                <w:lang w:val="ro-RO"/>
              </w:rPr>
              <w:t>Componenta</w:t>
            </w:r>
          </w:p>
        </w:tc>
        <w:tc>
          <w:tcPr>
            <w:tcW w:w="6940" w:type="dxa"/>
          </w:tcPr>
          <w:p w:rsidR="00B067F7" w:rsidRPr="00614F55" w:rsidRDefault="00B067F7" w:rsidP="0020442A">
            <w:pPr>
              <w:rPr>
                <w:rFonts w:cs="Times New Roman"/>
                <w:sz w:val="24"/>
                <w:szCs w:val="24"/>
                <w:lang w:val="ro-RO"/>
              </w:rPr>
            </w:pPr>
            <w:r w:rsidRPr="00614F55">
              <w:rPr>
                <w:rFonts w:cs="Times New Roman"/>
                <w:sz w:val="24"/>
                <w:szCs w:val="24"/>
                <w:lang w:val="ro-RO"/>
              </w:rPr>
              <w:t>de specialitate</w:t>
            </w:r>
          </w:p>
        </w:tc>
      </w:tr>
      <w:tr w:rsidR="00B067F7" w:rsidRPr="009F770C" w:rsidTr="0020442A">
        <w:tc>
          <w:tcPr>
            <w:tcW w:w="2405" w:type="dxa"/>
          </w:tcPr>
          <w:p w:rsidR="00B067F7" w:rsidRPr="00614F55" w:rsidRDefault="00B067F7" w:rsidP="0020442A">
            <w:pPr>
              <w:rPr>
                <w:rFonts w:cs="Times New Roman"/>
                <w:sz w:val="24"/>
                <w:szCs w:val="24"/>
                <w:lang w:val="ro-RO"/>
              </w:rPr>
            </w:pPr>
            <w:r w:rsidRPr="00614F55">
              <w:rPr>
                <w:rFonts w:cs="Times New Roman"/>
                <w:sz w:val="24"/>
                <w:szCs w:val="24"/>
                <w:lang w:val="ro-RO"/>
              </w:rPr>
              <w:t>Titularul de curs</w:t>
            </w:r>
          </w:p>
        </w:tc>
        <w:tc>
          <w:tcPr>
            <w:tcW w:w="6940" w:type="dxa"/>
          </w:tcPr>
          <w:p w:rsidR="00B067F7" w:rsidRPr="00614F55" w:rsidRDefault="00B067F7" w:rsidP="0020442A">
            <w:pPr>
              <w:rPr>
                <w:rFonts w:cs="Times New Roman"/>
                <w:sz w:val="24"/>
                <w:szCs w:val="24"/>
                <w:lang w:val="ro-RO"/>
              </w:rPr>
            </w:pPr>
            <w:proofErr w:type="spellStart"/>
            <w:r w:rsidRPr="00614F55">
              <w:rPr>
                <w:rFonts w:cs="Times New Roman"/>
                <w:b/>
                <w:sz w:val="24"/>
                <w:szCs w:val="24"/>
                <w:lang w:val="ro-RO"/>
              </w:rPr>
              <w:t>Deliv</w:t>
            </w:r>
            <w:proofErr w:type="spellEnd"/>
            <w:r w:rsidRPr="00614F55">
              <w:rPr>
                <w:rFonts w:cs="Times New Roman"/>
                <w:b/>
                <w:sz w:val="24"/>
                <w:szCs w:val="24"/>
                <w:lang w:val="ro-RO"/>
              </w:rPr>
              <w:t xml:space="preserve"> Inga, </w:t>
            </w:r>
            <w:r w:rsidRPr="00614F55">
              <w:rPr>
                <w:rFonts w:cs="Times New Roman"/>
                <w:bCs/>
                <w:sz w:val="24"/>
                <w:szCs w:val="24"/>
                <w:lang w:val="ro-RO"/>
              </w:rPr>
              <w:t>dr. șt. med., conf. univ.</w:t>
            </w:r>
          </w:p>
        </w:tc>
      </w:tr>
      <w:tr w:rsidR="00B067F7" w:rsidRPr="009F770C" w:rsidTr="0020442A">
        <w:tc>
          <w:tcPr>
            <w:tcW w:w="2405" w:type="dxa"/>
          </w:tcPr>
          <w:p w:rsidR="00B067F7" w:rsidRPr="00614F55" w:rsidRDefault="00B067F7" w:rsidP="0020442A">
            <w:pPr>
              <w:rPr>
                <w:rFonts w:cs="Times New Roman"/>
                <w:sz w:val="24"/>
                <w:szCs w:val="24"/>
                <w:lang w:val="ro-RO"/>
              </w:rPr>
            </w:pPr>
            <w:r w:rsidRPr="00614F55">
              <w:rPr>
                <w:rFonts w:cs="Times New Roman"/>
                <w:sz w:val="24"/>
                <w:szCs w:val="24"/>
                <w:lang w:val="ro-RO"/>
              </w:rPr>
              <w:t xml:space="preserve">Locația </w:t>
            </w:r>
          </w:p>
        </w:tc>
        <w:tc>
          <w:tcPr>
            <w:tcW w:w="6940" w:type="dxa"/>
          </w:tcPr>
          <w:p w:rsidR="00B067F7" w:rsidRPr="00614F55" w:rsidRDefault="00B067F7" w:rsidP="0020442A">
            <w:pPr>
              <w:rPr>
                <w:rFonts w:cs="Times New Roman"/>
                <w:sz w:val="24"/>
                <w:szCs w:val="24"/>
                <w:lang w:val="ro-RO"/>
              </w:rPr>
            </w:pPr>
            <w:r w:rsidRPr="00614F55">
              <w:rPr>
                <w:rFonts w:cs="Times New Roman"/>
                <w:sz w:val="24"/>
                <w:szCs w:val="24"/>
                <w:lang w:val="ro-RO"/>
              </w:rPr>
              <w:t>Catedra sănătate mintală, psihologie medicală și psihoterapie.</w:t>
            </w:r>
          </w:p>
          <w:p w:rsidR="00B067F7" w:rsidRPr="00614F55" w:rsidRDefault="00B067F7" w:rsidP="0020442A">
            <w:pPr>
              <w:rPr>
                <w:rFonts w:cs="Times New Roman"/>
                <w:sz w:val="24"/>
                <w:szCs w:val="24"/>
                <w:lang w:val="ro-RO"/>
              </w:rPr>
            </w:pPr>
            <w:proofErr w:type="spellStart"/>
            <w:r w:rsidRPr="00614F55">
              <w:rPr>
                <w:rFonts w:cs="Times New Roman"/>
                <w:sz w:val="24"/>
                <w:szCs w:val="24"/>
                <w:lang w:val="ro-RO"/>
              </w:rPr>
              <w:t>mun.Chișinău</w:t>
            </w:r>
            <w:proofErr w:type="spellEnd"/>
            <w:r w:rsidRPr="00614F55">
              <w:rPr>
                <w:rFonts w:cs="Times New Roman"/>
                <w:sz w:val="24"/>
                <w:szCs w:val="24"/>
                <w:lang w:val="ro-RO"/>
              </w:rPr>
              <w:t xml:space="preserve">, </w:t>
            </w:r>
            <w:proofErr w:type="spellStart"/>
            <w:r w:rsidRPr="00614F55">
              <w:rPr>
                <w:rFonts w:cs="Times New Roman"/>
                <w:sz w:val="24"/>
                <w:szCs w:val="24"/>
                <w:lang w:val="ro-RO"/>
              </w:rPr>
              <w:t>bd.Ștefan</w:t>
            </w:r>
            <w:proofErr w:type="spellEnd"/>
            <w:r w:rsidRPr="00614F55">
              <w:rPr>
                <w:rFonts w:cs="Times New Roman"/>
                <w:sz w:val="24"/>
                <w:szCs w:val="24"/>
                <w:lang w:val="ro-RO"/>
              </w:rPr>
              <w:t xml:space="preserve"> cel Mare și </w:t>
            </w:r>
            <w:proofErr w:type="spellStart"/>
            <w:r w:rsidRPr="00614F55">
              <w:rPr>
                <w:rFonts w:cs="Times New Roman"/>
                <w:sz w:val="24"/>
                <w:szCs w:val="24"/>
                <w:lang w:val="ro-RO"/>
              </w:rPr>
              <w:t>Sfînt</w:t>
            </w:r>
            <w:proofErr w:type="spellEnd"/>
            <w:r w:rsidRPr="00614F55">
              <w:rPr>
                <w:rFonts w:cs="Times New Roman"/>
                <w:sz w:val="24"/>
                <w:szCs w:val="24"/>
                <w:lang w:val="ro-RO"/>
              </w:rPr>
              <w:t>, 194-B, MD-2004</w:t>
            </w:r>
          </w:p>
          <w:p w:rsidR="00B067F7" w:rsidRPr="00614F55" w:rsidRDefault="00B067F7" w:rsidP="0020442A">
            <w:pPr>
              <w:rPr>
                <w:rFonts w:cs="Times New Roman"/>
                <w:sz w:val="24"/>
                <w:szCs w:val="24"/>
                <w:lang w:val="ro-RO"/>
              </w:rPr>
            </w:pPr>
            <w:r w:rsidRPr="00614F55">
              <w:rPr>
                <w:rFonts w:cs="Times New Roman"/>
                <w:sz w:val="24"/>
                <w:szCs w:val="24"/>
                <w:lang w:val="ro-RO"/>
              </w:rPr>
              <w:t xml:space="preserve">Spitalul clinic de psihiatrie, </w:t>
            </w:r>
            <w:proofErr w:type="spellStart"/>
            <w:r w:rsidRPr="00614F55">
              <w:rPr>
                <w:rFonts w:cs="Times New Roman"/>
                <w:sz w:val="24"/>
                <w:szCs w:val="24"/>
                <w:lang w:val="ro-RO"/>
              </w:rPr>
              <w:t>str.Costiujeni</w:t>
            </w:r>
            <w:proofErr w:type="spellEnd"/>
            <w:r w:rsidRPr="00614F55">
              <w:rPr>
                <w:rFonts w:cs="Times New Roman"/>
                <w:sz w:val="24"/>
                <w:szCs w:val="24"/>
                <w:lang w:val="ro-RO"/>
              </w:rPr>
              <w:t xml:space="preserve"> 3.</w:t>
            </w:r>
          </w:p>
        </w:tc>
      </w:tr>
      <w:tr w:rsidR="00B067F7" w:rsidRPr="009F770C" w:rsidTr="0020442A">
        <w:tc>
          <w:tcPr>
            <w:tcW w:w="2405" w:type="dxa"/>
            <w:vMerge w:val="restart"/>
          </w:tcPr>
          <w:p w:rsidR="00B067F7" w:rsidRPr="00614F55" w:rsidRDefault="00B067F7" w:rsidP="0020442A">
            <w:pPr>
              <w:rPr>
                <w:rFonts w:cs="Times New Roman"/>
                <w:color w:val="000000" w:themeColor="text1"/>
                <w:sz w:val="24"/>
                <w:szCs w:val="24"/>
                <w:lang w:val="ro-RO"/>
              </w:rPr>
            </w:pPr>
            <w:r w:rsidRPr="00614F55">
              <w:rPr>
                <w:rFonts w:cs="Times New Roman"/>
                <w:color w:val="000000" w:themeColor="text1"/>
                <w:sz w:val="24"/>
                <w:szCs w:val="24"/>
                <w:lang w:val="ro-RO"/>
              </w:rPr>
              <w:t>Condiționări și exigențe prealabile de:</w:t>
            </w:r>
          </w:p>
          <w:p w:rsidR="00B067F7" w:rsidRPr="00614F55" w:rsidRDefault="00B067F7" w:rsidP="0020442A">
            <w:pPr>
              <w:rPr>
                <w:rFonts w:cs="Times New Roman"/>
                <w:color w:val="FF0000"/>
                <w:sz w:val="24"/>
                <w:szCs w:val="24"/>
                <w:lang w:val="ro-RO"/>
              </w:rPr>
            </w:pPr>
          </w:p>
        </w:tc>
        <w:tc>
          <w:tcPr>
            <w:tcW w:w="6940" w:type="dxa"/>
          </w:tcPr>
          <w:p w:rsidR="00B067F7" w:rsidRPr="00614F55" w:rsidRDefault="00B067F7" w:rsidP="0020442A">
            <w:pPr>
              <w:pStyle w:val="BodyText"/>
              <w:spacing w:after="0"/>
              <w:contextualSpacing/>
              <w:jc w:val="both"/>
              <w:rPr>
                <w:rFonts w:ascii="Times New Roman" w:hAnsi="Times New Roman" w:cs="Times New Roman"/>
                <w:sz w:val="24"/>
                <w:szCs w:val="24"/>
                <w:lang w:val="ro-RO"/>
              </w:rPr>
            </w:pPr>
            <w:r w:rsidRPr="00614F55">
              <w:rPr>
                <w:rFonts w:ascii="Times New Roman" w:hAnsi="Times New Roman" w:cs="Times New Roman"/>
                <w:sz w:val="24"/>
                <w:szCs w:val="24"/>
                <w:lang w:val="ro-RO"/>
              </w:rPr>
              <w:t xml:space="preserve">Pentru însușirea eficientă și realizarea cu succes a activităților masteranzi trebuie să: cunoască limba de predare; să posede cunoștințe în domeniul medicinii, psihologiei, sănătății publice; să dețină competențe în științe la nivel preclinic și clinic; </w:t>
            </w:r>
          </w:p>
        </w:tc>
      </w:tr>
      <w:tr w:rsidR="00B067F7" w:rsidRPr="009F770C" w:rsidTr="0020442A">
        <w:tc>
          <w:tcPr>
            <w:tcW w:w="2405" w:type="dxa"/>
            <w:vMerge/>
          </w:tcPr>
          <w:p w:rsidR="00B067F7" w:rsidRPr="00614F55" w:rsidRDefault="00B067F7" w:rsidP="0020442A">
            <w:pPr>
              <w:rPr>
                <w:rFonts w:cs="Times New Roman"/>
                <w:sz w:val="24"/>
                <w:szCs w:val="24"/>
                <w:lang w:val="ro-RO"/>
              </w:rPr>
            </w:pPr>
          </w:p>
        </w:tc>
        <w:tc>
          <w:tcPr>
            <w:tcW w:w="6940" w:type="dxa"/>
          </w:tcPr>
          <w:p w:rsidR="00B067F7" w:rsidRPr="00614F55" w:rsidRDefault="00B067F7" w:rsidP="0020442A">
            <w:pPr>
              <w:pStyle w:val="ListParagraph"/>
              <w:widowControl w:val="0"/>
              <w:ind w:left="0"/>
              <w:contextualSpacing w:val="0"/>
              <w:jc w:val="both"/>
              <w:rPr>
                <w:rFonts w:cs="Times New Roman"/>
                <w:sz w:val="24"/>
                <w:szCs w:val="24"/>
                <w:lang w:val="ro-RO"/>
              </w:rPr>
            </w:pPr>
            <w:r w:rsidRPr="00614F55">
              <w:rPr>
                <w:rFonts w:cs="Times New Roman"/>
                <w:sz w:val="24"/>
                <w:szCs w:val="24"/>
                <w:lang w:val="ro-RO"/>
              </w:rPr>
              <w:t>Competențe digitale (utilizarea internetului, procesarea documentelor, tabelelor electronice și prezentărilor); abilitatea de comunicare și lucru în echipă; calități–comprehensiune, toleranță, compasiune, autonomie.</w:t>
            </w:r>
          </w:p>
        </w:tc>
      </w:tr>
      <w:tr w:rsidR="00B067F7" w:rsidRPr="009F770C" w:rsidTr="0020442A">
        <w:tc>
          <w:tcPr>
            <w:tcW w:w="2405" w:type="dxa"/>
            <w:shd w:val="clear" w:color="auto" w:fill="D9E2F3" w:themeFill="accent1" w:themeFillTint="33"/>
          </w:tcPr>
          <w:p w:rsidR="00B067F7" w:rsidRPr="00614F55" w:rsidRDefault="00B067F7" w:rsidP="0020442A">
            <w:pPr>
              <w:rPr>
                <w:rFonts w:cs="Times New Roman"/>
                <w:sz w:val="24"/>
                <w:szCs w:val="24"/>
                <w:lang w:val="ro-RO"/>
              </w:rPr>
            </w:pPr>
            <w:r w:rsidRPr="00614F55">
              <w:rPr>
                <w:rFonts w:cs="Times New Roman"/>
                <w:sz w:val="24"/>
                <w:szCs w:val="24"/>
                <w:lang w:val="ro-RO"/>
              </w:rPr>
              <w:t>Misiunea disciplinei</w:t>
            </w:r>
          </w:p>
        </w:tc>
        <w:tc>
          <w:tcPr>
            <w:tcW w:w="6940" w:type="dxa"/>
          </w:tcPr>
          <w:p w:rsidR="00B067F7" w:rsidRPr="00614F55" w:rsidRDefault="00B067F7" w:rsidP="0020442A">
            <w:pPr>
              <w:pStyle w:val="BodyTextIndent2"/>
              <w:ind w:left="0"/>
              <w:jc w:val="both"/>
              <w:rPr>
                <w:sz w:val="24"/>
                <w:szCs w:val="24"/>
              </w:rPr>
            </w:pPr>
            <w:r w:rsidRPr="00614F55">
              <w:rPr>
                <w:color w:val="000000"/>
                <w:sz w:val="24"/>
                <w:szCs w:val="24"/>
              </w:rPr>
              <w:t>Disciplina Psihiatria adultului și copilului are scopul de a furniza masteranzilor cunoștințe teoretice, abilități practice și atitudinale privind definirea, epidemiologia, etiologia, mecanismele patogenetice, criteriile de diagnostic, manifestările psihopatologice, particularitățile de evoluție, metodele moderne de investigație ale tulburărilor de sănătate mintală la copil, adolescent și adult.</w:t>
            </w:r>
          </w:p>
        </w:tc>
      </w:tr>
      <w:tr w:rsidR="00B067F7" w:rsidRPr="009F770C" w:rsidTr="0020442A">
        <w:tc>
          <w:tcPr>
            <w:tcW w:w="2405" w:type="dxa"/>
          </w:tcPr>
          <w:p w:rsidR="00B067F7" w:rsidRPr="00614F55" w:rsidRDefault="00B067F7" w:rsidP="0020442A">
            <w:pPr>
              <w:rPr>
                <w:rFonts w:cs="Times New Roman"/>
                <w:sz w:val="24"/>
                <w:szCs w:val="24"/>
                <w:lang w:val="ro-RO"/>
              </w:rPr>
            </w:pPr>
            <w:r w:rsidRPr="00614F55">
              <w:rPr>
                <w:rFonts w:cs="Times New Roman"/>
                <w:sz w:val="24"/>
                <w:szCs w:val="24"/>
                <w:lang w:val="ro-RO"/>
              </w:rPr>
              <w:t>Tematica prezentată</w:t>
            </w:r>
          </w:p>
          <w:p w:rsidR="00B067F7" w:rsidRPr="00614F55" w:rsidRDefault="00B067F7" w:rsidP="0020442A">
            <w:pPr>
              <w:rPr>
                <w:rFonts w:cs="Times New Roman"/>
                <w:sz w:val="24"/>
                <w:szCs w:val="24"/>
                <w:lang w:val="ro-RO"/>
              </w:rPr>
            </w:pPr>
          </w:p>
        </w:tc>
        <w:tc>
          <w:tcPr>
            <w:tcW w:w="6940" w:type="dxa"/>
          </w:tcPr>
          <w:p w:rsidR="00B067F7" w:rsidRPr="00614F55" w:rsidRDefault="00B067F7" w:rsidP="0020442A">
            <w:pPr>
              <w:jc w:val="both"/>
              <w:rPr>
                <w:rFonts w:cs="Times New Roman"/>
                <w:lang w:val="ro-RO"/>
              </w:rPr>
            </w:pPr>
            <w:r w:rsidRPr="00614F55">
              <w:rPr>
                <w:rFonts w:cs="Times New Roman"/>
                <w:lang w:val="ro-RO"/>
              </w:rPr>
              <w:t xml:space="preserve">Tulburările din spectrul schizofreniei și alte tulburări </w:t>
            </w:r>
            <w:proofErr w:type="spellStart"/>
            <w:r w:rsidRPr="00614F55">
              <w:rPr>
                <w:rFonts w:cs="Times New Roman"/>
                <w:lang w:val="ro-RO"/>
              </w:rPr>
              <w:t>psihotice</w:t>
            </w:r>
            <w:proofErr w:type="spellEnd"/>
            <w:r w:rsidRPr="00614F55">
              <w:rPr>
                <w:rFonts w:cs="Times New Roman"/>
                <w:lang w:val="ro-RO"/>
              </w:rPr>
              <w:t>.</w:t>
            </w:r>
            <w:r w:rsidRPr="00614F55">
              <w:rPr>
                <w:rFonts w:cs="Times New Roman"/>
                <w:lang w:val="ro-RO"/>
              </w:rPr>
              <w:tab/>
            </w:r>
          </w:p>
          <w:p w:rsidR="00B067F7" w:rsidRPr="00614F55" w:rsidRDefault="00B067F7" w:rsidP="0020442A">
            <w:pPr>
              <w:jc w:val="both"/>
              <w:rPr>
                <w:rFonts w:cs="Times New Roman"/>
                <w:lang w:val="ro-RO"/>
              </w:rPr>
            </w:pPr>
            <w:r w:rsidRPr="00614F55">
              <w:rPr>
                <w:rFonts w:cs="Times New Roman"/>
                <w:lang w:val="ro-RO"/>
              </w:rPr>
              <w:t>Tulburări ale dispoziției (afective).</w:t>
            </w:r>
            <w:r w:rsidRPr="00614F55">
              <w:rPr>
                <w:rFonts w:cs="Times New Roman"/>
                <w:lang w:val="ro-RO"/>
              </w:rPr>
              <w:tab/>
            </w:r>
          </w:p>
          <w:p w:rsidR="00B067F7" w:rsidRPr="00614F55" w:rsidRDefault="00B067F7" w:rsidP="0020442A">
            <w:pPr>
              <w:jc w:val="both"/>
              <w:rPr>
                <w:rFonts w:cs="Times New Roman"/>
                <w:lang w:val="ro-RO"/>
              </w:rPr>
            </w:pPr>
            <w:r w:rsidRPr="00614F55">
              <w:rPr>
                <w:rFonts w:cs="Times New Roman"/>
                <w:lang w:val="ro-RO"/>
              </w:rPr>
              <w:t xml:space="preserve">Tulburările anxioase și tulburările </w:t>
            </w:r>
            <w:proofErr w:type="spellStart"/>
            <w:r w:rsidRPr="00614F55">
              <w:rPr>
                <w:rFonts w:cs="Times New Roman"/>
                <w:lang w:val="ro-RO"/>
              </w:rPr>
              <w:t>somatoforme</w:t>
            </w:r>
            <w:proofErr w:type="spellEnd"/>
            <w:r w:rsidRPr="00614F55">
              <w:rPr>
                <w:rFonts w:cs="Times New Roman"/>
                <w:lang w:val="ro-RO"/>
              </w:rPr>
              <w:t>.</w:t>
            </w:r>
            <w:r w:rsidRPr="00614F55">
              <w:rPr>
                <w:rFonts w:cs="Times New Roman"/>
                <w:lang w:val="ro-RO"/>
              </w:rPr>
              <w:tab/>
            </w:r>
          </w:p>
          <w:p w:rsidR="00B067F7" w:rsidRPr="00614F55" w:rsidRDefault="00B067F7" w:rsidP="0020442A">
            <w:pPr>
              <w:jc w:val="both"/>
              <w:rPr>
                <w:rFonts w:cs="Times New Roman"/>
                <w:lang w:val="ro-RO"/>
              </w:rPr>
            </w:pPr>
            <w:r w:rsidRPr="00614F55">
              <w:rPr>
                <w:rFonts w:cs="Times New Roman"/>
                <w:lang w:val="ro-RO"/>
              </w:rPr>
              <w:t>Tulburări mintale și de comportament datorate leziunii sau disfuncției cerebrale sau unei boli somatice.</w:t>
            </w:r>
          </w:p>
          <w:p w:rsidR="00B067F7" w:rsidRPr="00614F55" w:rsidRDefault="00B067F7" w:rsidP="0020442A">
            <w:pPr>
              <w:jc w:val="both"/>
              <w:rPr>
                <w:rFonts w:cs="Times New Roman"/>
                <w:lang w:val="ro-RO"/>
              </w:rPr>
            </w:pPr>
            <w:r w:rsidRPr="00614F55">
              <w:rPr>
                <w:rFonts w:cs="Times New Roman"/>
                <w:lang w:val="ro-RO"/>
              </w:rPr>
              <w:t>Sindroamele comportamentale asociate cu tulburări fiziologice și factori somatici.</w:t>
            </w:r>
            <w:r w:rsidRPr="00614F55">
              <w:rPr>
                <w:rFonts w:cs="Times New Roman"/>
                <w:lang w:val="ro-RO"/>
              </w:rPr>
              <w:tab/>
            </w:r>
          </w:p>
          <w:p w:rsidR="00B067F7" w:rsidRPr="00614F55" w:rsidRDefault="00B067F7" w:rsidP="0020442A">
            <w:pPr>
              <w:jc w:val="both"/>
              <w:rPr>
                <w:rFonts w:cs="Times New Roman"/>
                <w:lang w:val="ro-RO"/>
              </w:rPr>
            </w:pPr>
            <w:r w:rsidRPr="00614F55">
              <w:rPr>
                <w:rFonts w:cs="Times New Roman"/>
                <w:lang w:val="ro-RO"/>
              </w:rPr>
              <w:t>Tulburările neurocognitive (Demențele).</w:t>
            </w:r>
            <w:r w:rsidRPr="00614F55">
              <w:rPr>
                <w:rFonts w:cs="Times New Roman"/>
                <w:lang w:val="ro-RO"/>
              </w:rPr>
              <w:tab/>
            </w:r>
          </w:p>
          <w:p w:rsidR="00B067F7" w:rsidRPr="00614F55" w:rsidRDefault="00B067F7" w:rsidP="0020442A">
            <w:pPr>
              <w:jc w:val="both"/>
              <w:rPr>
                <w:rFonts w:cs="Times New Roman"/>
                <w:lang w:val="ro-RO"/>
              </w:rPr>
            </w:pPr>
            <w:r w:rsidRPr="00614F55">
              <w:rPr>
                <w:rFonts w:cs="Times New Roman"/>
                <w:lang w:val="ro-RO"/>
              </w:rPr>
              <w:t xml:space="preserve">Tulburările mintale și comportamentale datorate utilizării de substanțe </w:t>
            </w:r>
            <w:proofErr w:type="spellStart"/>
            <w:r w:rsidRPr="00614F55">
              <w:rPr>
                <w:rFonts w:cs="Times New Roman"/>
                <w:lang w:val="ro-RO"/>
              </w:rPr>
              <w:t>psihoactive</w:t>
            </w:r>
            <w:proofErr w:type="spellEnd"/>
            <w:r w:rsidRPr="00614F55">
              <w:rPr>
                <w:rFonts w:cs="Times New Roman"/>
                <w:lang w:val="ro-RO"/>
              </w:rPr>
              <w:t>.</w:t>
            </w:r>
            <w:r w:rsidRPr="00614F55">
              <w:rPr>
                <w:rFonts w:cs="Times New Roman"/>
                <w:lang w:val="ro-RO"/>
              </w:rPr>
              <w:tab/>
            </w:r>
          </w:p>
          <w:p w:rsidR="00B067F7" w:rsidRPr="00614F55" w:rsidRDefault="00B067F7" w:rsidP="0020442A">
            <w:pPr>
              <w:jc w:val="both"/>
              <w:rPr>
                <w:rFonts w:cs="Times New Roman"/>
                <w:lang w:val="ro-RO"/>
              </w:rPr>
            </w:pPr>
            <w:r w:rsidRPr="00614F55">
              <w:rPr>
                <w:rFonts w:cs="Times New Roman"/>
                <w:lang w:val="ro-RO"/>
              </w:rPr>
              <w:t>Tulburările de personalitate.</w:t>
            </w:r>
            <w:r w:rsidRPr="00614F55">
              <w:rPr>
                <w:rFonts w:cs="Times New Roman"/>
                <w:lang w:val="ro-RO"/>
              </w:rPr>
              <w:tab/>
            </w:r>
          </w:p>
          <w:p w:rsidR="00B067F7" w:rsidRPr="00614F55" w:rsidRDefault="00B067F7" w:rsidP="0020442A">
            <w:pPr>
              <w:jc w:val="both"/>
              <w:rPr>
                <w:rFonts w:cs="Times New Roman"/>
                <w:lang w:val="ro-RO"/>
              </w:rPr>
            </w:pPr>
            <w:r w:rsidRPr="00614F55">
              <w:rPr>
                <w:rFonts w:cs="Times New Roman"/>
                <w:lang w:val="ro-RO"/>
              </w:rPr>
              <w:t>Tulburări ale dezvoltării psihologice a copilului și adolescentului. Retardarea mintală. Tulburări de dezvoltare specifice privind vorbirea și limbajul, privind abilitățile școlare. Tulburare de dezvoltare specifică a funcției motorii.</w:t>
            </w:r>
            <w:r w:rsidRPr="00614F55">
              <w:rPr>
                <w:rFonts w:cs="Times New Roman"/>
                <w:lang w:val="ro-RO"/>
              </w:rPr>
              <w:tab/>
            </w:r>
          </w:p>
          <w:p w:rsidR="00B067F7" w:rsidRPr="00614F55" w:rsidRDefault="00B067F7" w:rsidP="0020442A">
            <w:pPr>
              <w:jc w:val="both"/>
              <w:rPr>
                <w:rFonts w:cs="Times New Roman"/>
                <w:lang w:val="ro-RO"/>
              </w:rPr>
            </w:pPr>
            <w:r w:rsidRPr="00614F55">
              <w:rPr>
                <w:rFonts w:cs="Times New Roman"/>
                <w:lang w:val="ro-RO"/>
              </w:rPr>
              <w:t>Tulburările de spectru autist (TSA). Tulburarea cu Deficit de Atenție/Hiperactivitate (ADHD).</w:t>
            </w:r>
            <w:r w:rsidRPr="00614F55">
              <w:rPr>
                <w:rFonts w:cs="Times New Roman"/>
                <w:lang w:val="ro-RO"/>
              </w:rPr>
              <w:tab/>
            </w:r>
          </w:p>
          <w:p w:rsidR="00B067F7" w:rsidRPr="00614F55" w:rsidRDefault="00B067F7" w:rsidP="0020442A">
            <w:pPr>
              <w:jc w:val="both"/>
              <w:rPr>
                <w:rFonts w:cs="Times New Roman"/>
                <w:sz w:val="24"/>
                <w:szCs w:val="24"/>
                <w:lang w:val="ro-RO"/>
              </w:rPr>
            </w:pPr>
            <w:r w:rsidRPr="00614F55">
              <w:rPr>
                <w:rFonts w:cs="Times New Roman"/>
                <w:sz w:val="24"/>
                <w:szCs w:val="24"/>
                <w:lang w:val="ro-RO"/>
              </w:rPr>
              <w:t>Tulburări comportamentale și emoționale cu debut de obicei în copilărie și adolescență. Tulburări de comportament alimentar.</w:t>
            </w:r>
          </w:p>
        </w:tc>
      </w:tr>
      <w:tr w:rsidR="00B067F7" w:rsidRPr="009F770C" w:rsidTr="0020442A">
        <w:tc>
          <w:tcPr>
            <w:tcW w:w="2405" w:type="dxa"/>
            <w:shd w:val="clear" w:color="auto" w:fill="D9E2F3" w:themeFill="accent1" w:themeFillTint="33"/>
          </w:tcPr>
          <w:p w:rsidR="00B067F7" w:rsidRPr="00614F55" w:rsidRDefault="00B067F7" w:rsidP="0020442A">
            <w:pPr>
              <w:rPr>
                <w:rFonts w:cs="Times New Roman"/>
                <w:sz w:val="24"/>
                <w:szCs w:val="24"/>
                <w:lang w:val="ro-RO"/>
              </w:rPr>
            </w:pPr>
            <w:r w:rsidRPr="00614F55">
              <w:rPr>
                <w:rFonts w:cs="Times New Roman"/>
                <w:sz w:val="24"/>
                <w:szCs w:val="24"/>
                <w:lang w:val="ro-RO"/>
              </w:rPr>
              <w:t>Finalități de studiu</w:t>
            </w:r>
          </w:p>
          <w:p w:rsidR="00B067F7" w:rsidRPr="00614F55" w:rsidRDefault="00B067F7" w:rsidP="0020442A">
            <w:pPr>
              <w:rPr>
                <w:rFonts w:cs="Times New Roman"/>
                <w:sz w:val="24"/>
                <w:szCs w:val="24"/>
                <w:lang w:val="ro-RO"/>
              </w:rPr>
            </w:pPr>
          </w:p>
        </w:tc>
        <w:tc>
          <w:tcPr>
            <w:tcW w:w="6940" w:type="dxa"/>
          </w:tcPr>
          <w:p w:rsidR="00B067F7" w:rsidRPr="00614F55" w:rsidRDefault="00B067F7" w:rsidP="0020442A">
            <w:pPr>
              <w:pStyle w:val="NormalWeb"/>
              <w:spacing w:before="0" w:beforeAutospacing="0" w:after="0" w:afterAutospacing="0"/>
              <w:jc w:val="both"/>
              <w:textAlignment w:val="baseline"/>
              <w:rPr>
                <w:color w:val="000000"/>
                <w:sz w:val="24"/>
                <w:szCs w:val="24"/>
                <w:lang w:val="ro-RO"/>
              </w:rPr>
            </w:pPr>
            <w:r w:rsidRPr="00614F55">
              <w:rPr>
                <w:color w:val="000000"/>
                <w:sz w:val="24"/>
                <w:szCs w:val="24"/>
                <w:lang w:val="ro-RO"/>
              </w:rPr>
              <w:t>Să identifice principalele tulburări psihice la adult și copil;</w:t>
            </w:r>
          </w:p>
          <w:p w:rsidR="00B067F7" w:rsidRPr="00614F55" w:rsidRDefault="00B067F7" w:rsidP="0020442A">
            <w:pPr>
              <w:pStyle w:val="NormalWeb"/>
              <w:spacing w:before="0" w:beforeAutospacing="0" w:after="0" w:afterAutospacing="0"/>
              <w:jc w:val="both"/>
              <w:textAlignment w:val="baseline"/>
              <w:rPr>
                <w:color w:val="000000"/>
                <w:sz w:val="24"/>
                <w:szCs w:val="24"/>
                <w:lang w:val="ro-RO"/>
              </w:rPr>
            </w:pPr>
            <w:r w:rsidRPr="00614F55">
              <w:rPr>
                <w:color w:val="000000"/>
                <w:sz w:val="24"/>
                <w:szCs w:val="24"/>
                <w:lang w:val="ro-RO"/>
              </w:rPr>
              <w:t>Să recunoască simptomatologia clinică conform criteriilor de diagnostic conform CIM-11 și DSM-5;</w:t>
            </w:r>
          </w:p>
          <w:p w:rsidR="00B067F7" w:rsidRPr="00614F55" w:rsidRDefault="00B067F7" w:rsidP="0020442A">
            <w:pPr>
              <w:pStyle w:val="NormalWeb"/>
              <w:spacing w:before="0" w:beforeAutospacing="0" w:after="0" w:afterAutospacing="0"/>
              <w:jc w:val="both"/>
              <w:textAlignment w:val="baseline"/>
              <w:rPr>
                <w:color w:val="000000"/>
                <w:sz w:val="24"/>
                <w:szCs w:val="24"/>
                <w:lang w:val="ro-RO"/>
              </w:rPr>
            </w:pPr>
            <w:r w:rsidRPr="00614F55">
              <w:rPr>
                <w:color w:val="000000"/>
                <w:sz w:val="24"/>
                <w:szCs w:val="24"/>
                <w:lang w:val="ro-RO"/>
              </w:rPr>
              <w:t>Să fie apt să deducă cauzele posibile ale tulburărilor mintale la adult și copil;</w:t>
            </w:r>
          </w:p>
          <w:p w:rsidR="00B067F7" w:rsidRPr="00614F55" w:rsidRDefault="00B067F7" w:rsidP="0020442A">
            <w:pPr>
              <w:pStyle w:val="NormalWeb"/>
              <w:spacing w:before="0" w:beforeAutospacing="0" w:after="0" w:afterAutospacing="0"/>
              <w:jc w:val="both"/>
              <w:textAlignment w:val="baseline"/>
              <w:rPr>
                <w:color w:val="000000"/>
                <w:sz w:val="24"/>
                <w:szCs w:val="24"/>
                <w:lang w:val="ro-RO"/>
              </w:rPr>
            </w:pPr>
            <w:r w:rsidRPr="00614F55">
              <w:rPr>
                <w:color w:val="000000"/>
                <w:sz w:val="24"/>
                <w:szCs w:val="24"/>
                <w:lang w:val="ro-RO"/>
              </w:rPr>
              <w:t>Să cunoască tipurile de debut, particularitățile evolutive ale tulburărilor mintale la adult și copil;</w:t>
            </w:r>
          </w:p>
          <w:p w:rsidR="00B067F7" w:rsidRPr="00614F55" w:rsidRDefault="00B067F7" w:rsidP="0020442A">
            <w:pPr>
              <w:pStyle w:val="NormalWeb"/>
              <w:spacing w:before="0" w:beforeAutospacing="0" w:after="0" w:afterAutospacing="0"/>
              <w:jc w:val="both"/>
              <w:textAlignment w:val="baseline"/>
              <w:rPr>
                <w:color w:val="000000"/>
                <w:sz w:val="24"/>
                <w:szCs w:val="24"/>
                <w:lang w:val="ro-RO"/>
              </w:rPr>
            </w:pPr>
            <w:r w:rsidRPr="00614F55">
              <w:rPr>
                <w:color w:val="000000"/>
                <w:sz w:val="24"/>
                <w:szCs w:val="24"/>
                <w:lang w:val="ro-RO"/>
              </w:rPr>
              <w:lastRenderedPageBreak/>
              <w:t>Să fie capabil de a aplica cunoștințele dobândite pentru optimizarea procesului terapeutic;</w:t>
            </w:r>
          </w:p>
          <w:p w:rsidR="00B067F7" w:rsidRPr="00614F55" w:rsidRDefault="00B067F7" w:rsidP="0020442A">
            <w:pPr>
              <w:pStyle w:val="NormalWeb"/>
              <w:spacing w:before="0" w:beforeAutospacing="0" w:after="0" w:afterAutospacing="0"/>
              <w:jc w:val="both"/>
              <w:textAlignment w:val="baseline"/>
              <w:rPr>
                <w:color w:val="000000"/>
                <w:sz w:val="24"/>
                <w:szCs w:val="24"/>
                <w:lang w:val="ro-RO"/>
              </w:rPr>
            </w:pPr>
            <w:r w:rsidRPr="00614F55">
              <w:rPr>
                <w:color w:val="000000"/>
                <w:sz w:val="24"/>
                <w:szCs w:val="24"/>
                <w:lang w:val="ro-RO"/>
              </w:rPr>
              <w:t>Să fie competent de a utiliza cunoștințele și metodologia intervenție în cadrul tulburărilor mintale la adult și copil;</w:t>
            </w:r>
          </w:p>
          <w:p w:rsidR="00B067F7" w:rsidRPr="00614F55" w:rsidRDefault="00B067F7" w:rsidP="0020442A">
            <w:pPr>
              <w:pStyle w:val="NormalWeb"/>
              <w:spacing w:before="0" w:beforeAutospacing="0" w:after="0" w:afterAutospacing="0"/>
              <w:jc w:val="both"/>
              <w:textAlignment w:val="baseline"/>
              <w:rPr>
                <w:color w:val="000000"/>
                <w:sz w:val="24"/>
                <w:szCs w:val="24"/>
                <w:lang w:val="ro-RO"/>
              </w:rPr>
            </w:pPr>
            <w:r w:rsidRPr="00614F55">
              <w:rPr>
                <w:color w:val="000000"/>
                <w:sz w:val="24"/>
                <w:szCs w:val="24"/>
                <w:lang w:val="ro-RO"/>
              </w:rPr>
              <w:t>Să fie capabil să implementeze cunoștințele acumulate în activitatea de cercetător;</w:t>
            </w:r>
          </w:p>
          <w:p w:rsidR="00B067F7" w:rsidRPr="00614F55" w:rsidRDefault="00B067F7" w:rsidP="0020442A">
            <w:pPr>
              <w:pStyle w:val="NormalWeb"/>
              <w:spacing w:before="0" w:beforeAutospacing="0" w:after="0" w:afterAutospacing="0"/>
              <w:jc w:val="both"/>
              <w:textAlignment w:val="baseline"/>
              <w:rPr>
                <w:color w:val="000000"/>
                <w:sz w:val="24"/>
                <w:szCs w:val="24"/>
                <w:lang w:val="ro-RO"/>
              </w:rPr>
            </w:pPr>
            <w:r w:rsidRPr="00614F55">
              <w:rPr>
                <w:color w:val="000000"/>
                <w:sz w:val="24"/>
                <w:szCs w:val="24"/>
                <w:lang w:val="ro-RO"/>
              </w:rPr>
              <w:t>Să fie competent să utilizeze critic și cu încredere informațiile științifice obținute, utilizând noile tehnologii informaționale și de comunicare.</w:t>
            </w:r>
          </w:p>
        </w:tc>
      </w:tr>
      <w:tr w:rsidR="00B067F7" w:rsidRPr="009F770C" w:rsidTr="0020442A">
        <w:tc>
          <w:tcPr>
            <w:tcW w:w="2405" w:type="dxa"/>
          </w:tcPr>
          <w:p w:rsidR="00B067F7" w:rsidRPr="00614F55" w:rsidRDefault="00B067F7" w:rsidP="0020442A">
            <w:pPr>
              <w:rPr>
                <w:rFonts w:cs="Times New Roman"/>
                <w:sz w:val="24"/>
                <w:szCs w:val="24"/>
                <w:lang w:val="ro-RO"/>
              </w:rPr>
            </w:pPr>
            <w:r w:rsidRPr="00614F55">
              <w:rPr>
                <w:rFonts w:cs="Times New Roman"/>
                <w:sz w:val="24"/>
                <w:szCs w:val="24"/>
                <w:lang w:val="ro-RO"/>
              </w:rPr>
              <w:lastRenderedPageBreak/>
              <w:t>Manopere practice achiziționate</w:t>
            </w:r>
          </w:p>
          <w:p w:rsidR="00B067F7" w:rsidRPr="00614F55" w:rsidRDefault="00B067F7" w:rsidP="0020442A">
            <w:pPr>
              <w:rPr>
                <w:rFonts w:cs="Times New Roman"/>
                <w:sz w:val="24"/>
                <w:szCs w:val="24"/>
                <w:lang w:val="ro-RO"/>
              </w:rPr>
            </w:pPr>
          </w:p>
        </w:tc>
        <w:tc>
          <w:tcPr>
            <w:tcW w:w="6940" w:type="dxa"/>
          </w:tcPr>
          <w:p w:rsidR="00B067F7" w:rsidRPr="00614F55" w:rsidRDefault="00B067F7" w:rsidP="0020442A">
            <w:pPr>
              <w:pStyle w:val="BodyTextIndent2"/>
              <w:ind w:left="0"/>
              <w:contextualSpacing/>
              <w:rPr>
                <w:sz w:val="24"/>
                <w:szCs w:val="24"/>
              </w:rPr>
            </w:pPr>
            <w:r w:rsidRPr="00614F55">
              <w:rPr>
                <w:sz w:val="24"/>
                <w:szCs w:val="24"/>
              </w:rPr>
              <w:t>Manoperele practice esențiale obligatorii sunt:</w:t>
            </w:r>
          </w:p>
          <w:p w:rsidR="00B067F7" w:rsidRPr="00614F55" w:rsidRDefault="00B067F7" w:rsidP="0020442A">
            <w:pPr>
              <w:pStyle w:val="BodyTextIndent2"/>
              <w:ind w:left="0"/>
              <w:contextualSpacing/>
              <w:rPr>
                <w:sz w:val="24"/>
                <w:szCs w:val="24"/>
              </w:rPr>
            </w:pPr>
            <w:r w:rsidRPr="00614F55">
              <w:rPr>
                <w:sz w:val="24"/>
                <w:szCs w:val="24"/>
              </w:rPr>
              <w:t xml:space="preserve">Examinarea pacientului adult cu diverse tulburări psihice. </w:t>
            </w:r>
          </w:p>
          <w:p w:rsidR="00B067F7" w:rsidRPr="00614F55" w:rsidRDefault="00B067F7" w:rsidP="0020442A">
            <w:pPr>
              <w:pStyle w:val="BodyTextIndent2"/>
              <w:ind w:left="0"/>
              <w:contextualSpacing/>
              <w:rPr>
                <w:sz w:val="24"/>
                <w:szCs w:val="24"/>
              </w:rPr>
            </w:pPr>
            <w:r w:rsidRPr="00614F55">
              <w:rPr>
                <w:sz w:val="24"/>
                <w:szCs w:val="24"/>
              </w:rPr>
              <w:t xml:space="preserve">Examinarea copilului și adolescentului cu probleme de </w:t>
            </w:r>
            <w:proofErr w:type="spellStart"/>
            <w:r w:rsidRPr="00614F55">
              <w:rPr>
                <w:sz w:val="24"/>
                <w:szCs w:val="24"/>
              </w:rPr>
              <w:t>sănătatemintală</w:t>
            </w:r>
            <w:proofErr w:type="spellEnd"/>
            <w:r w:rsidRPr="00614F55">
              <w:rPr>
                <w:sz w:val="24"/>
                <w:szCs w:val="24"/>
              </w:rPr>
              <w:t>.</w:t>
            </w:r>
          </w:p>
          <w:p w:rsidR="00B067F7" w:rsidRPr="00614F55" w:rsidRDefault="00B067F7" w:rsidP="0020442A">
            <w:pPr>
              <w:pStyle w:val="BodyTextIndent2"/>
              <w:ind w:left="0"/>
              <w:contextualSpacing/>
              <w:rPr>
                <w:sz w:val="24"/>
                <w:szCs w:val="24"/>
              </w:rPr>
            </w:pPr>
            <w:r w:rsidRPr="00614F55">
              <w:rPr>
                <w:sz w:val="24"/>
                <w:szCs w:val="24"/>
              </w:rPr>
              <w:t xml:space="preserve">Colectarea </w:t>
            </w:r>
            <w:proofErr w:type="spellStart"/>
            <w:r w:rsidRPr="00614F55">
              <w:rPr>
                <w:sz w:val="24"/>
                <w:szCs w:val="24"/>
              </w:rPr>
              <w:t>anamnesticului</w:t>
            </w:r>
            <w:proofErr w:type="spellEnd"/>
            <w:r w:rsidRPr="00614F55">
              <w:rPr>
                <w:sz w:val="24"/>
                <w:szCs w:val="24"/>
              </w:rPr>
              <w:t xml:space="preserve"> subiectiv și obiectiv, a catamnezei pentru stabilirea diagnosticului psihiatric și pentru evaluarea modelului de evoluție al tulburării de sănătate mintală.</w:t>
            </w:r>
          </w:p>
          <w:p w:rsidR="00B067F7" w:rsidRPr="00614F55" w:rsidRDefault="00B067F7" w:rsidP="0020442A">
            <w:pPr>
              <w:pStyle w:val="BodyTextIndent2"/>
              <w:ind w:left="0"/>
              <w:contextualSpacing/>
              <w:rPr>
                <w:sz w:val="24"/>
                <w:szCs w:val="24"/>
              </w:rPr>
            </w:pPr>
            <w:r w:rsidRPr="00614F55">
              <w:rPr>
                <w:sz w:val="24"/>
                <w:szCs w:val="24"/>
              </w:rPr>
              <w:t xml:space="preserve">Recunoașterea și diferențierea tulburărilor din spectrul schizofreniei și altor tulburări </w:t>
            </w:r>
            <w:proofErr w:type="spellStart"/>
            <w:r w:rsidRPr="00614F55">
              <w:rPr>
                <w:sz w:val="24"/>
                <w:szCs w:val="24"/>
              </w:rPr>
              <w:t>psihotice</w:t>
            </w:r>
            <w:proofErr w:type="spellEnd"/>
            <w:r w:rsidRPr="00614F55">
              <w:rPr>
                <w:sz w:val="24"/>
                <w:szCs w:val="24"/>
              </w:rPr>
              <w:t xml:space="preserve">. </w:t>
            </w:r>
          </w:p>
          <w:p w:rsidR="00B067F7" w:rsidRPr="00614F55" w:rsidRDefault="00B067F7" w:rsidP="0020442A">
            <w:pPr>
              <w:pStyle w:val="BodyTextIndent2"/>
              <w:ind w:left="0"/>
              <w:contextualSpacing/>
              <w:rPr>
                <w:sz w:val="24"/>
                <w:szCs w:val="24"/>
              </w:rPr>
            </w:pPr>
            <w:r w:rsidRPr="00614F55">
              <w:rPr>
                <w:sz w:val="24"/>
                <w:szCs w:val="24"/>
              </w:rPr>
              <w:t xml:space="preserve">Însușirea criteriilor de diagnostic pentru schizofrenie, tulburarea </w:t>
            </w:r>
            <w:proofErr w:type="spellStart"/>
            <w:r w:rsidRPr="00614F55">
              <w:rPr>
                <w:sz w:val="24"/>
                <w:szCs w:val="24"/>
              </w:rPr>
              <w:t>schizotipală</w:t>
            </w:r>
            <w:proofErr w:type="spellEnd"/>
            <w:r w:rsidRPr="00614F55">
              <w:rPr>
                <w:sz w:val="24"/>
                <w:szCs w:val="24"/>
              </w:rPr>
              <w:t xml:space="preserve">, tulburarea </w:t>
            </w:r>
            <w:proofErr w:type="spellStart"/>
            <w:r w:rsidRPr="00614F55">
              <w:rPr>
                <w:sz w:val="24"/>
                <w:szCs w:val="24"/>
              </w:rPr>
              <w:t>schizoafectivă</w:t>
            </w:r>
            <w:proofErr w:type="spellEnd"/>
            <w:r w:rsidRPr="00614F55">
              <w:rPr>
                <w:sz w:val="24"/>
                <w:szCs w:val="24"/>
              </w:rPr>
              <w:t xml:space="preserve">, tulburarea </w:t>
            </w:r>
            <w:proofErr w:type="spellStart"/>
            <w:r w:rsidRPr="00614F55">
              <w:rPr>
                <w:sz w:val="24"/>
                <w:szCs w:val="24"/>
              </w:rPr>
              <w:t>psihotică</w:t>
            </w:r>
            <w:proofErr w:type="spellEnd"/>
            <w:r w:rsidRPr="00614F55">
              <w:rPr>
                <w:sz w:val="24"/>
                <w:szCs w:val="24"/>
              </w:rPr>
              <w:t xml:space="preserve"> acută cu/fără simptome de schizofrenie, tulburarea delirantă organică asemănătoare cu schizofrenia (schizofrenia-</w:t>
            </w:r>
            <w:proofErr w:type="spellStart"/>
            <w:r w:rsidRPr="00614F55">
              <w:rPr>
                <w:sz w:val="24"/>
                <w:szCs w:val="24"/>
              </w:rPr>
              <w:t>like</w:t>
            </w:r>
            <w:proofErr w:type="spellEnd"/>
            <w:r w:rsidRPr="00614F55">
              <w:rPr>
                <w:sz w:val="24"/>
                <w:szCs w:val="24"/>
              </w:rPr>
              <w:t>).</w:t>
            </w:r>
          </w:p>
          <w:p w:rsidR="00B067F7" w:rsidRPr="00614F55" w:rsidRDefault="00B067F7" w:rsidP="0020442A">
            <w:pPr>
              <w:pStyle w:val="BodyTextIndent2"/>
              <w:ind w:left="0"/>
              <w:contextualSpacing/>
              <w:rPr>
                <w:sz w:val="24"/>
                <w:szCs w:val="24"/>
              </w:rPr>
            </w:pPr>
            <w:r w:rsidRPr="00614F55">
              <w:rPr>
                <w:sz w:val="24"/>
                <w:szCs w:val="24"/>
              </w:rPr>
              <w:t>Recunoașterea și diferențierea tulburărilor de dispoziție (afective).</w:t>
            </w:r>
          </w:p>
          <w:p w:rsidR="00B067F7" w:rsidRPr="00614F55" w:rsidRDefault="00B067F7" w:rsidP="0020442A">
            <w:pPr>
              <w:pStyle w:val="BodyTextIndent2"/>
              <w:ind w:left="0"/>
              <w:contextualSpacing/>
              <w:rPr>
                <w:sz w:val="24"/>
                <w:szCs w:val="24"/>
              </w:rPr>
            </w:pPr>
            <w:r w:rsidRPr="00614F55">
              <w:rPr>
                <w:sz w:val="24"/>
                <w:szCs w:val="24"/>
              </w:rPr>
              <w:t>Aplicarea criteriilor de diagnostic pentru tulburarea afectivă bipolară (tip de evoluție I și II).</w:t>
            </w:r>
          </w:p>
          <w:p w:rsidR="00B067F7" w:rsidRPr="00614F55" w:rsidRDefault="00B067F7" w:rsidP="0020442A">
            <w:pPr>
              <w:pStyle w:val="BodyTextIndent2"/>
              <w:ind w:left="0"/>
              <w:contextualSpacing/>
              <w:rPr>
                <w:sz w:val="24"/>
                <w:szCs w:val="24"/>
              </w:rPr>
            </w:pPr>
            <w:r w:rsidRPr="00614F55">
              <w:rPr>
                <w:sz w:val="24"/>
                <w:szCs w:val="24"/>
              </w:rPr>
              <w:t xml:space="preserve">Recunoașterea și diferențierea tulburărilor anxioase și tulburărilor </w:t>
            </w:r>
            <w:proofErr w:type="spellStart"/>
            <w:r w:rsidRPr="00614F55">
              <w:rPr>
                <w:sz w:val="24"/>
                <w:szCs w:val="24"/>
              </w:rPr>
              <w:t>somatoforme</w:t>
            </w:r>
            <w:proofErr w:type="spellEnd"/>
            <w:r w:rsidRPr="00614F55">
              <w:rPr>
                <w:sz w:val="24"/>
                <w:szCs w:val="24"/>
              </w:rPr>
              <w:t>.</w:t>
            </w:r>
          </w:p>
          <w:p w:rsidR="00B067F7" w:rsidRPr="00614F55" w:rsidRDefault="00B067F7" w:rsidP="0020442A">
            <w:pPr>
              <w:pStyle w:val="BodyTextIndent2"/>
              <w:ind w:left="0"/>
              <w:contextualSpacing/>
              <w:rPr>
                <w:sz w:val="24"/>
                <w:szCs w:val="24"/>
              </w:rPr>
            </w:pPr>
            <w:r w:rsidRPr="00614F55">
              <w:rPr>
                <w:sz w:val="24"/>
                <w:szCs w:val="24"/>
              </w:rPr>
              <w:t>Aptitudini de evaluare a contextului familial, profesional, social, economic, cultural în care se manifestă problemele de sănătate mintală.</w:t>
            </w:r>
          </w:p>
          <w:p w:rsidR="00B067F7" w:rsidRPr="00614F55" w:rsidRDefault="00B067F7" w:rsidP="0020442A">
            <w:pPr>
              <w:pStyle w:val="BodyTextIndent2"/>
              <w:ind w:left="0"/>
              <w:contextualSpacing/>
              <w:rPr>
                <w:sz w:val="24"/>
                <w:szCs w:val="24"/>
              </w:rPr>
            </w:pPr>
            <w:r w:rsidRPr="00614F55">
              <w:rPr>
                <w:sz w:val="24"/>
                <w:szCs w:val="24"/>
              </w:rPr>
              <w:t>Recunoașterea și diferențierea tulburărilor mintale și de comportament datorate leziunii sau disfuncției cerebrale sau unei boli somatice.</w:t>
            </w:r>
          </w:p>
          <w:p w:rsidR="00B067F7" w:rsidRPr="00614F55" w:rsidRDefault="00B067F7" w:rsidP="0020442A">
            <w:pPr>
              <w:pStyle w:val="BodyTextIndent2"/>
              <w:ind w:left="0"/>
              <w:contextualSpacing/>
              <w:rPr>
                <w:sz w:val="24"/>
                <w:szCs w:val="24"/>
              </w:rPr>
            </w:pPr>
            <w:r w:rsidRPr="00614F55">
              <w:rPr>
                <w:sz w:val="24"/>
                <w:szCs w:val="24"/>
              </w:rPr>
              <w:t>Recunoașterea și diferențierea sindroamelor comportamentale asociate cu tulburări fiziologice și factori somatici.</w:t>
            </w:r>
          </w:p>
          <w:p w:rsidR="00B067F7" w:rsidRPr="00614F55" w:rsidRDefault="00B067F7" w:rsidP="0020442A">
            <w:pPr>
              <w:pStyle w:val="BodyTextIndent2"/>
              <w:ind w:left="0"/>
              <w:contextualSpacing/>
              <w:rPr>
                <w:sz w:val="24"/>
                <w:szCs w:val="24"/>
              </w:rPr>
            </w:pPr>
            <w:r w:rsidRPr="00614F55">
              <w:rPr>
                <w:sz w:val="24"/>
                <w:szCs w:val="24"/>
              </w:rPr>
              <w:t>Recunoașterea și diferențierea tulburărilor neurocognitive (Demențe).</w:t>
            </w:r>
          </w:p>
          <w:p w:rsidR="00B067F7" w:rsidRPr="00614F55" w:rsidRDefault="00B067F7" w:rsidP="0020442A">
            <w:pPr>
              <w:pStyle w:val="BodyTextIndent2"/>
              <w:ind w:left="0"/>
              <w:contextualSpacing/>
              <w:rPr>
                <w:sz w:val="24"/>
                <w:szCs w:val="24"/>
              </w:rPr>
            </w:pPr>
            <w:r w:rsidRPr="00614F55">
              <w:rPr>
                <w:sz w:val="24"/>
                <w:szCs w:val="24"/>
              </w:rPr>
              <w:t xml:space="preserve">Recunoașterea și diferențierea tulburărilor mintale și comportamentale datorate utilizării de substanțe </w:t>
            </w:r>
            <w:proofErr w:type="spellStart"/>
            <w:r w:rsidRPr="00614F55">
              <w:rPr>
                <w:sz w:val="24"/>
                <w:szCs w:val="24"/>
              </w:rPr>
              <w:t>psihoactive</w:t>
            </w:r>
            <w:proofErr w:type="spellEnd"/>
            <w:r w:rsidRPr="00614F55">
              <w:rPr>
                <w:sz w:val="24"/>
                <w:szCs w:val="24"/>
              </w:rPr>
              <w:t>.</w:t>
            </w:r>
          </w:p>
          <w:p w:rsidR="00B067F7" w:rsidRPr="00614F55" w:rsidRDefault="00B067F7" w:rsidP="0020442A">
            <w:pPr>
              <w:pStyle w:val="BodyTextIndent2"/>
              <w:ind w:left="0"/>
              <w:contextualSpacing/>
              <w:rPr>
                <w:sz w:val="24"/>
                <w:szCs w:val="24"/>
              </w:rPr>
            </w:pPr>
            <w:r w:rsidRPr="00614F55">
              <w:rPr>
                <w:sz w:val="24"/>
                <w:szCs w:val="24"/>
              </w:rPr>
              <w:t>Recunoașterea și diferențierea tulburărilor de personalitate.</w:t>
            </w:r>
          </w:p>
          <w:p w:rsidR="00B067F7" w:rsidRPr="00614F55" w:rsidRDefault="00B067F7" w:rsidP="0020442A">
            <w:pPr>
              <w:pStyle w:val="BodyTextIndent2"/>
              <w:ind w:left="0"/>
              <w:contextualSpacing/>
              <w:rPr>
                <w:sz w:val="24"/>
                <w:szCs w:val="24"/>
              </w:rPr>
            </w:pPr>
            <w:r w:rsidRPr="00614F55">
              <w:rPr>
                <w:sz w:val="24"/>
                <w:szCs w:val="24"/>
              </w:rPr>
              <w:t xml:space="preserve">Recunoașterea și diferențierea tulburărilor ale dezvoltării psihologice a copilului și adolescentului. </w:t>
            </w:r>
          </w:p>
          <w:p w:rsidR="00B067F7" w:rsidRPr="00614F55" w:rsidRDefault="00B067F7" w:rsidP="0020442A">
            <w:pPr>
              <w:pStyle w:val="BodyTextIndent2"/>
              <w:ind w:left="0"/>
              <w:contextualSpacing/>
              <w:rPr>
                <w:sz w:val="24"/>
                <w:szCs w:val="24"/>
              </w:rPr>
            </w:pPr>
            <w:r w:rsidRPr="00614F55">
              <w:rPr>
                <w:sz w:val="24"/>
                <w:szCs w:val="24"/>
              </w:rPr>
              <w:t>Recunoașterea și diferențierea tulburărilor de spectru autist (TSA) și tulburărilor cu Deficit de Atenție/Hiperactivitate (ADHD).</w:t>
            </w:r>
          </w:p>
          <w:p w:rsidR="00B067F7" w:rsidRPr="00614F55" w:rsidRDefault="00B067F7" w:rsidP="0020442A">
            <w:pPr>
              <w:pStyle w:val="BodyTextIndent2"/>
              <w:ind w:left="0"/>
              <w:contextualSpacing/>
              <w:rPr>
                <w:sz w:val="24"/>
                <w:szCs w:val="24"/>
              </w:rPr>
            </w:pPr>
            <w:r w:rsidRPr="00614F55">
              <w:rPr>
                <w:sz w:val="24"/>
                <w:szCs w:val="24"/>
              </w:rPr>
              <w:t xml:space="preserve">Recunoașterea și diferențierea tulburărilor comportamentale și emoționale cu debut de obicei în copilărie și adolescență. </w:t>
            </w:r>
          </w:p>
          <w:p w:rsidR="00B067F7" w:rsidRPr="00614F55" w:rsidRDefault="00B067F7" w:rsidP="0020442A">
            <w:pPr>
              <w:pStyle w:val="BodyTextIndent2"/>
              <w:ind w:left="0"/>
              <w:contextualSpacing/>
              <w:rPr>
                <w:sz w:val="24"/>
                <w:szCs w:val="24"/>
              </w:rPr>
            </w:pPr>
            <w:r w:rsidRPr="00614F55">
              <w:rPr>
                <w:sz w:val="24"/>
                <w:szCs w:val="24"/>
              </w:rPr>
              <w:t xml:space="preserve">Cunoașterea testelor </w:t>
            </w:r>
            <w:proofErr w:type="spellStart"/>
            <w:r w:rsidRPr="00614F55">
              <w:rPr>
                <w:sz w:val="24"/>
                <w:szCs w:val="24"/>
              </w:rPr>
              <w:t>psihometrice</w:t>
            </w:r>
            <w:proofErr w:type="spellEnd"/>
            <w:r w:rsidRPr="00614F55">
              <w:rPr>
                <w:sz w:val="24"/>
                <w:szCs w:val="24"/>
              </w:rPr>
              <w:t xml:space="preserve"> (MMPI, MMSE).</w:t>
            </w:r>
          </w:p>
          <w:p w:rsidR="00B067F7" w:rsidRPr="00614F55" w:rsidRDefault="00B067F7" w:rsidP="0020442A">
            <w:pPr>
              <w:pStyle w:val="BodyTextIndent2"/>
              <w:ind w:left="0"/>
              <w:contextualSpacing/>
              <w:rPr>
                <w:sz w:val="24"/>
                <w:szCs w:val="24"/>
              </w:rPr>
            </w:pPr>
            <w:r w:rsidRPr="00614F55">
              <w:rPr>
                <w:sz w:val="24"/>
                <w:szCs w:val="24"/>
              </w:rPr>
              <w:t>Însușirea testelor pentru testarea stării emoționale</w:t>
            </w:r>
          </w:p>
          <w:p w:rsidR="00B067F7" w:rsidRPr="00614F55" w:rsidRDefault="00B067F7" w:rsidP="0020442A">
            <w:pPr>
              <w:pStyle w:val="BodyTextIndent2"/>
              <w:ind w:left="0"/>
              <w:contextualSpacing/>
              <w:rPr>
                <w:sz w:val="24"/>
                <w:szCs w:val="24"/>
              </w:rPr>
            </w:pPr>
            <w:r w:rsidRPr="00614F55">
              <w:rPr>
                <w:sz w:val="24"/>
                <w:szCs w:val="24"/>
              </w:rPr>
              <w:t>Cunoașterea scalei de evaluare a simptomelor “pozitive” și „negative” din cadrul schizofreniei (PANSS).</w:t>
            </w:r>
          </w:p>
          <w:p w:rsidR="00B067F7" w:rsidRPr="00614F55" w:rsidRDefault="00B067F7" w:rsidP="0020442A">
            <w:pPr>
              <w:pStyle w:val="BodyTextIndent2"/>
              <w:ind w:left="0"/>
              <w:contextualSpacing/>
              <w:rPr>
                <w:sz w:val="24"/>
                <w:szCs w:val="24"/>
              </w:rPr>
            </w:pPr>
            <w:r w:rsidRPr="00614F55">
              <w:rPr>
                <w:sz w:val="24"/>
                <w:szCs w:val="24"/>
              </w:rPr>
              <w:lastRenderedPageBreak/>
              <w:t xml:space="preserve">Cunoașterea scalelor de evaluare a calității vieții (SF-36;  </w:t>
            </w:r>
            <w:proofErr w:type="spellStart"/>
            <w:r w:rsidRPr="00614F55">
              <w:rPr>
                <w:sz w:val="24"/>
                <w:szCs w:val="24"/>
              </w:rPr>
              <w:t>HoNOS</w:t>
            </w:r>
            <w:proofErr w:type="spellEnd"/>
            <w:r w:rsidRPr="00614F55">
              <w:rPr>
                <w:sz w:val="24"/>
                <w:szCs w:val="24"/>
              </w:rPr>
              <w:t xml:space="preserve"> și MANSA).</w:t>
            </w:r>
          </w:p>
          <w:p w:rsidR="00B067F7" w:rsidRPr="00614F55" w:rsidRDefault="00B067F7" w:rsidP="0020442A">
            <w:pPr>
              <w:pStyle w:val="BodyTextIndent2"/>
              <w:ind w:left="0"/>
              <w:contextualSpacing/>
              <w:rPr>
                <w:sz w:val="24"/>
                <w:szCs w:val="24"/>
              </w:rPr>
            </w:pPr>
          </w:p>
        </w:tc>
      </w:tr>
      <w:tr w:rsidR="00B067F7" w:rsidRPr="00614F55" w:rsidTr="0020442A">
        <w:tc>
          <w:tcPr>
            <w:tcW w:w="2405" w:type="dxa"/>
            <w:shd w:val="clear" w:color="auto" w:fill="D9E2F3" w:themeFill="accent1" w:themeFillTint="33"/>
          </w:tcPr>
          <w:p w:rsidR="00B067F7" w:rsidRPr="00614F55" w:rsidRDefault="00B067F7" w:rsidP="0020442A">
            <w:pPr>
              <w:rPr>
                <w:rFonts w:cs="Times New Roman"/>
                <w:sz w:val="24"/>
                <w:szCs w:val="24"/>
                <w:lang w:val="ro-RO"/>
              </w:rPr>
            </w:pPr>
            <w:r w:rsidRPr="00614F55">
              <w:rPr>
                <w:rFonts w:cs="Times New Roman"/>
                <w:sz w:val="24"/>
                <w:szCs w:val="24"/>
                <w:lang w:val="ro-RO"/>
              </w:rPr>
              <w:lastRenderedPageBreak/>
              <w:t>Forma de evaluare</w:t>
            </w:r>
          </w:p>
        </w:tc>
        <w:tc>
          <w:tcPr>
            <w:tcW w:w="6940" w:type="dxa"/>
          </w:tcPr>
          <w:p w:rsidR="00B067F7" w:rsidRPr="00614F55" w:rsidRDefault="00B067F7" w:rsidP="0020442A">
            <w:pPr>
              <w:rPr>
                <w:rFonts w:cs="Times New Roman"/>
                <w:sz w:val="24"/>
                <w:szCs w:val="24"/>
                <w:lang w:val="ro-RO"/>
              </w:rPr>
            </w:pPr>
            <w:r w:rsidRPr="00614F55">
              <w:rPr>
                <w:rFonts w:cs="Times New Roman"/>
                <w:sz w:val="24"/>
                <w:szCs w:val="24"/>
                <w:lang w:val="ro-RO"/>
              </w:rPr>
              <w:t>Examen verbal</w:t>
            </w:r>
          </w:p>
        </w:tc>
      </w:tr>
    </w:tbl>
    <w:p w:rsidR="008211B8" w:rsidRDefault="008211B8"/>
    <w:sectPr w:rsidR="00821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F7"/>
    <w:rsid w:val="008211B8"/>
    <w:rsid w:val="00B067F7"/>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597BB1-3C89-C248-BAD7-1E244CCB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F7"/>
    <w:pPr>
      <w:contextualSpacing/>
    </w:pPr>
    <w:rPr>
      <w:rFonts w:ascii="Times New Roman" w:eastAsiaTheme="minorEastAsia" w:hAnsi="Times New Roman"/>
      <w:kern w:val="0"/>
      <w:lang w:val="ru-MD"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7F7"/>
    <w:pPr>
      <w:spacing w:before="100" w:beforeAutospacing="1" w:after="100" w:afterAutospacing="1"/>
      <w:contextualSpacing w:val="0"/>
    </w:pPr>
    <w:rPr>
      <w:rFonts w:eastAsia="Times New Roman" w:cs="Times New Roman"/>
    </w:rPr>
  </w:style>
  <w:style w:type="table" w:styleId="TableGrid">
    <w:name w:val="Table Grid"/>
    <w:basedOn w:val="TableNormal"/>
    <w:uiPriority w:val="39"/>
    <w:rsid w:val="00B067F7"/>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7F7"/>
    <w:pPr>
      <w:ind w:left="720"/>
    </w:pPr>
  </w:style>
  <w:style w:type="paragraph" w:styleId="BodyTextIndent2">
    <w:name w:val="Body Text Indent 2"/>
    <w:basedOn w:val="Normal"/>
    <w:link w:val="BodyTextIndent2Char"/>
    <w:rsid w:val="00B067F7"/>
    <w:pPr>
      <w:ind w:left="360"/>
      <w:contextualSpacing w:val="0"/>
    </w:pPr>
    <w:rPr>
      <w:rFonts w:eastAsia="Times New Roman" w:cs="Times New Roman"/>
      <w:szCs w:val="20"/>
      <w:lang w:val="ro-RO"/>
    </w:rPr>
  </w:style>
  <w:style w:type="character" w:customStyle="1" w:styleId="BodyTextIndent2Char">
    <w:name w:val="Body Text Indent 2 Char"/>
    <w:basedOn w:val="DefaultParagraphFont"/>
    <w:link w:val="BodyTextIndent2"/>
    <w:rsid w:val="00B067F7"/>
    <w:rPr>
      <w:rFonts w:ascii="Times New Roman" w:eastAsia="Times New Roman" w:hAnsi="Times New Roman" w:cs="Times New Roman"/>
      <w:kern w:val="0"/>
      <w:szCs w:val="20"/>
      <w:lang w:val="ro-RO" w:eastAsia="ru-RU"/>
      <w14:ligatures w14:val="none"/>
    </w:rPr>
  </w:style>
  <w:style w:type="paragraph" w:styleId="BodyText">
    <w:name w:val="Body Text"/>
    <w:basedOn w:val="Normal"/>
    <w:link w:val="BodyTextChar"/>
    <w:uiPriority w:val="99"/>
    <w:unhideWhenUsed/>
    <w:rsid w:val="00B067F7"/>
    <w:pPr>
      <w:spacing w:after="120" w:line="259" w:lineRule="auto"/>
      <w:contextualSpacing w:val="0"/>
    </w:pPr>
    <w:rPr>
      <w:rFonts w:asciiTheme="minorHAnsi" w:eastAsiaTheme="minorHAnsi" w:hAnsiTheme="minorHAnsi"/>
      <w:sz w:val="22"/>
      <w:szCs w:val="22"/>
      <w:lang w:val="en-US" w:eastAsia="en-US"/>
    </w:rPr>
  </w:style>
  <w:style w:type="character" w:customStyle="1" w:styleId="BodyTextChar">
    <w:name w:val="Body Text Char"/>
    <w:basedOn w:val="DefaultParagraphFont"/>
    <w:link w:val="BodyText"/>
    <w:uiPriority w:val="99"/>
    <w:rsid w:val="00B067F7"/>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2024-03-13T11:13:00Z</dcterms:created>
  <dcterms:modified xsi:type="dcterms:W3CDTF">2024-03-13T11:13:00Z</dcterms:modified>
</cp:coreProperties>
</file>