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11EE" w:rsidRPr="00614F55" w:rsidRDefault="00E211EE" w:rsidP="00E211EE">
      <w:pPr>
        <w:jc w:val="center"/>
        <w:rPr>
          <w:rFonts w:cs="Times New Roman"/>
          <w:b/>
          <w:bCs/>
          <w:color w:val="222222"/>
          <w:sz w:val="28"/>
          <w:szCs w:val="28"/>
          <w:highlight w:val="white"/>
          <w:lang w:val="ro-RO"/>
        </w:rPr>
      </w:pPr>
      <w:r w:rsidRPr="00614F55">
        <w:rPr>
          <w:rFonts w:cs="Times New Roman"/>
          <w:b/>
          <w:bCs/>
          <w:sz w:val="28"/>
          <w:szCs w:val="28"/>
          <w:lang w:val="ro-RO"/>
        </w:rPr>
        <w:t>S.01.O.002</w:t>
      </w:r>
      <w:r w:rsidRPr="00614F55">
        <w:rPr>
          <w:rFonts w:cs="Times New Roman"/>
          <w:b/>
          <w:bCs/>
          <w:color w:val="222222"/>
          <w:sz w:val="28"/>
          <w:szCs w:val="28"/>
          <w:highlight w:val="white"/>
          <w:lang w:val="ro-RO"/>
        </w:rPr>
        <w:t xml:space="preserve"> </w:t>
      </w:r>
      <w:r w:rsidRPr="00614F55">
        <w:rPr>
          <w:rFonts w:cs="Times New Roman"/>
          <w:b/>
          <w:bCs/>
          <w:color w:val="222222"/>
          <w:sz w:val="28"/>
          <w:szCs w:val="28"/>
          <w:lang w:val="ro-RO"/>
        </w:rPr>
        <w:t>SĂNĂTATEA MINTALĂ GLOBALĂ ȘI ORGANIZAREA SERVICIILOR DE SĂNĂTATE MINTALĂ</w:t>
      </w:r>
    </w:p>
    <w:p w:rsidR="00E211EE" w:rsidRPr="00614F55" w:rsidRDefault="00E211EE" w:rsidP="00E211EE">
      <w:pPr>
        <w:jc w:val="center"/>
        <w:rPr>
          <w:rFonts w:cs="Times New Roman"/>
          <w:b/>
          <w:bCs/>
          <w:lang w:val="ro-RO"/>
        </w:rPr>
      </w:pPr>
    </w:p>
    <w:tbl>
      <w:tblPr>
        <w:tblStyle w:val="TableGrid"/>
        <w:tblW w:w="0" w:type="auto"/>
        <w:tblLook w:val="04A0" w:firstRow="1" w:lastRow="0" w:firstColumn="1" w:lastColumn="0" w:noHBand="0" w:noVBand="1"/>
      </w:tblPr>
      <w:tblGrid>
        <w:gridCol w:w="2353"/>
        <w:gridCol w:w="6663"/>
      </w:tblGrid>
      <w:tr w:rsidR="00E211EE" w:rsidRPr="009F770C" w:rsidTr="0020442A">
        <w:tc>
          <w:tcPr>
            <w:tcW w:w="2405" w:type="dxa"/>
            <w:shd w:val="clear" w:color="auto" w:fill="D9E2F3" w:themeFill="accent1" w:themeFillTint="33"/>
          </w:tcPr>
          <w:p w:rsidR="00E211EE" w:rsidRPr="00614F55" w:rsidRDefault="00E211EE" w:rsidP="0020442A">
            <w:pPr>
              <w:rPr>
                <w:rFonts w:cs="Times New Roman"/>
                <w:sz w:val="24"/>
                <w:szCs w:val="24"/>
                <w:lang w:val="ro-RO"/>
              </w:rPr>
            </w:pPr>
            <w:r w:rsidRPr="00614F55">
              <w:rPr>
                <w:rFonts w:cs="Times New Roman"/>
                <w:sz w:val="24"/>
                <w:szCs w:val="24"/>
                <w:lang w:val="ro-RO"/>
              </w:rPr>
              <w:t>Denumirea disciplinei</w:t>
            </w:r>
          </w:p>
        </w:tc>
        <w:tc>
          <w:tcPr>
            <w:tcW w:w="6940" w:type="dxa"/>
          </w:tcPr>
          <w:p w:rsidR="00E211EE" w:rsidRPr="00614F55" w:rsidRDefault="00E211EE" w:rsidP="0020442A">
            <w:pPr>
              <w:rPr>
                <w:rFonts w:cs="Times New Roman"/>
                <w:b/>
                <w:bCs/>
                <w:sz w:val="24"/>
                <w:szCs w:val="24"/>
                <w:lang w:val="ro-RO"/>
              </w:rPr>
            </w:pPr>
            <w:r w:rsidRPr="00614F55">
              <w:rPr>
                <w:rFonts w:cs="Times New Roman"/>
                <w:b/>
                <w:bCs/>
                <w:sz w:val="24"/>
                <w:szCs w:val="24"/>
                <w:lang w:val="ro-RO"/>
              </w:rPr>
              <w:t>Sănătatea mintală globală și organizarea serviciilor de sănătate mintală</w:t>
            </w:r>
          </w:p>
        </w:tc>
      </w:tr>
      <w:tr w:rsidR="00E211EE" w:rsidRPr="00614F55" w:rsidTr="0020442A">
        <w:tc>
          <w:tcPr>
            <w:tcW w:w="2405" w:type="dxa"/>
          </w:tcPr>
          <w:p w:rsidR="00E211EE" w:rsidRPr="00614F55" w:rsidRDefault="00E211EE" w:rsidP="0020442A">
            <w:pPr>
              <w:rPr>
                <w:rFonts w:cs="Times New Roman"/>
                <w:sz w:val="24"/>
                <w:szCs w:val="24"/>
                <w:lang w:val="ro-RO"/>
              </w:rPr>
            </w:pPr>
            <w:r w:rsidRPr="00614F55">
              <w:rPr>
                <w:rFonts w:cs="Times New Roman"/>
                <w:sz w:val="24"/>
                <w:szCs w:val="24"/>
                <w:lang w:val="ro-RO"/>
              </w:rPr>
              <w:t xml:space="preserve">Tipul </w:t>
            </w:r>
          </w:p>
        </w:tc>
        <w:tc>
          <w:tcPr>
            <w:tcW w:w="6940" w:type="dxa"/>
          </w:tcPr>
          <w:p w:rsidR="00E211EE" w:rsidRPr="00614F55" w:rsidRDefault="00E211EE" w:rsidP="0020442A">
            <w:pPr>
              <w:rPr>
                <w:rFonts w:cs="Times New Roman"/>
                <w:sz w:val="24"/>
                <w:szCs w:val="24"/>
                <w:lang w:val="ro-RO"/>
              </w:rPr>
            </w:pPr>
            <w:r w:rsidRPr="00614F55">
              <w:rPr>
                <w:rFonts w:cs="Times New Roman"/>
                <w:sz w:val="24"/>
                <w:szCs w:val="24"/>
                <w:lang w:val="ro-RO"/>
              </w:rPr>
              <w:t>Disciplină obligatorie</w:t>
            </w:r>
          </w:p>
        </w:tc>
      </w:tr>
      <w:tr w:rsidR="00E211EE" w:rsidRPr="00614F55" w:rsidTr="0020442A">
        <w:tc>
          <w:tcPr>
            <w:tcW w:w="2405" w:type="dxa"/>
          </w:tcPr>
          <w:p w:rsidR="00E211EE" w:rsidRPr="00614F55" w:rsidRDefault="00E211EE" w:rsidP="0020442A">
            <w:pPr>
              <w:rPr>
                <w:rFonts w:cs="Times New Roman"/>
                <w:sz w:val="24"/>
                <w:szCs w:val="24"/>
                <w:lang w:val="ro-RO"/>
              </w:rPr>
            </w:pPr>
            <w:r w:rsidRPr="00614F55">
              <w:rPr>
                <w:rFonts w:cs="Times New Roman"/>
                <w:sz w:val="24"/>
                <w:szCs w:val="24"/>
                <w:lang w:val="ro-RO"/>
              </w:rPr>
              <w:t>Anul de studii</w:t>
            </w:r>
          </w:p>
        </w:tc>
        <w:tc>
          <w:tcPr>
            <w:tcW w:w="6940" w:type="dxa"/>
          </w:tcPr>
          <w:p w:rsidR="00E211EE" w:rsidRPr="00614F55" w:rsidRDefault="00E211EE" w:rsidP="0020442A">
            <w:pPr>
              <w:rPr>
                <w:rFonts w:cs="Times New Roman"/>
                <w:sz w:val="24"/>
                <w:szCs w:val="24"/>
                <w:lang w:val="ro-RO"/>
              </w:rPr>
            </w:pPr>
            <w:r w:rsidRPr="00614F55">
              <w:rPr>
                <w:rFonts w:cs="Times New Roman"/>
                <w:sz w:val="24"/>
                <w:szCs w:val="24"/>
                <w:lang w:val="ro-RO"/>
              </w:rPr>
              <w:t>I, sem I</w:t>
            </w:r>
          </w:p>
        </w:tc>
      </w:tr>
      <w:tr w:rsidR="00E211EE" w:rsidRPr="00614F55" w:rsidTr="0020442A">
        <w:tc>
          <w:tcPr>
            <w:tcW w:w="2405" w:type="dxa"/>
          </w:tcPr>
          <w:p w:rsidR="00E211EE" w:rsidRPr="00614F55" w:rsidRDefault="00E211EE" w:rsidP="0020442A">
            <w:pPr>
              <w:rPr>
                <w:rFonts w:cs="Times New Roman"/>
                <w:sz w:val="24"/>
                <w:szCs w:val="24"/>
                <w:lang w:val="ro-RO"/>
              </w:rPr>
            </w:pPr>
            <w:r w:rsidRPr="00614F55">
              <w:rPr>
                <w:rFonts w:cs="Times New Roman"/>
                <w:sz w:val="24"/>
                <w:szCs w:val="24"/>
                <w:lang w:val="ro-RO"/>
              </w:rPr>
              <w:t>Componenta</w:t>
            </w:r>
          </w:p>
        </w:tc>
        <w:tc>
          <w:tcPr>
            <w:tcW w:w="6940" w:type="dxa"/>
          </w:tcPr>
          <w:p w:rsidR="00E211EE" w:rsidRPr="00614F55" w:rsidRDefault="00E211EE" w:rsidP="0020442A">
            <w:pPr>
              <w:rPr>
                <w:rFonts w:cs="Times New Roman"/>
                <w:sz w:val="24"/>
                <w:szCs w:val="24"/>
                <w:lang w:val="ro-RO"/>
              </w:rPr>
            </w:pPr>
            <w:r w:rsidRPr="00614F55">
              <w:rPr>
                <w:rFonts w:cs="Times New Roman"/>
                <w:sz w:val="24"/>
                <w:szCs w:val="24"/>
                <w:lang w:val="ro-RO"/>
              </w:rPr>
              <w:t>de specialitate</w:t>
            </w:r>
          </w:p>
        </w:tc>
      </w:tr>
      <w:tr w:rsidR="00E211EE" w:rsidRPr="009F770C" w:rsidTr="0020442A">
        <w:tc>
          <w:tcPr>
            <w:tcW w:w="2405" w:type="dxa"/>
          </w:tcPr>
          <w:p w:rsidR="00E211EE" w:rsidRPr="00614F55" w:rsidRDefault="00E211EE" w:rsidP="0020442A">
            <w:pPr>
              <w:rPr>
                <w:rFonts w:cs="Times New Roman"/>
                <w:sz w:val="24"/>
                <w:szCs w:val="24"/>
                <w:lang w:val="ro-RO"/>
              </w:rPr>
            </w:pPr>
            <w:r w:rsidRPr="00614F55">
              <w:rPr>
                <w:rFonts w:cs="Times New Roman"/>
                <w:sz w:val="24"/>
                <w:szCs w:val="24"/>
                <w:lang w:val="ro-RO"/>
              </w:rPr>
              <w:t>Titularul de curs</w:t>
            </w:r>
          </w:p>
        </w:tc>
        <w:tc>
          <w:tcPr>
            <w:tcW w:w="6940" w:type="dxa"/>
          </w:tcPr>
          <w:p w:rsidR="00E211EE" w:rsidRPr="00614F55" w:rsidRDefault="00E211EE" w:rsidP="0020442A">
            <w:pPr>
              <w:rPr>
                <w:rFonts w:cs="Times New Roman"/>
                <w:sz w:val="24"/>
                <w:szCs w:val="24"/>
                <w:lang w:val="ro-RO"/>
              </w:rPr>
            </w:pPr>
            <w:r w:rsidRPr="00614F55">
              <w:rPr>
                <w:rFonts w:cs="Times New Roman"/>
                <w:b/>
                <w:bCs/>
                <w:sz w:val="24"/>
                <w:szCs w:val="24"/>
                <w:lang w:val="ro-RO"/>
              </w:rPr>
              <w:t>Nacu Anatol,</w:t>
            </w:r>
            <w:r w:rsidRPr="00614F55">
              <w:rPr>
                <w:rFonts w:cs="Times New Roman"/>
                <w:sz w:val="24"/>
                <w:szCs w:val="24"/>
                <w:lang w:val="ro-RO"/>
              </w:rPr>
              <w:t xml:space="preserve"> dr. </w:t>
            </w:r>
            <w:proofErr w:type="spellStart"/>
            <w:r w:rsidRPr="00614F55">
              <w:rPr>
                <w:rFonts w:cs="Times New Roman"/>
                <w:sz w:val="24"/>
                <w:szCs w:val="24"/>
                <w:lang w:val="ro-RO"/>
              </w:rPr>
              <w:t>hab</w:t>
            </w:r>
            <w:proofErr w:type="spellEnd"/>
            <w:r w:rsidRPr="00614F55">
              <w:rPr>
                <w:rFonts w:cs="Times New Roman"/>
                <w:sz w:val="24"/>
                <w:szCs w:val="24"/>
                <w:lang w:val="ro-RO"/>
              </w:rPr>
              <w:t>. șt. med., prof. univ.</w:t>
            </w:r>
          </w:p>
        </w:tc>
      </w:tr>
      <w:tr w:rsidR="00E211EE" w:rsidRPr="009F770C" w:rsidTr="0020442A">
        <w:tc>
          <w:tcPr>
            <w:tcW w:w="2405" w:type="dxa"/>
          </w:tcPr>
          <w:p w:rsidR="00E211EE" w:rsidRPr="00614F55" w:rsidRDefault="00E211EE" w:rsidP="0020442A">
            <w:pPr>
              <w:rPr>
                <w:rFonts w:cs="Times New Roman"/>
                <w:sz w:val="24"/>
                <w:szCs w:val="24"/>
                <w:lang w:val="ro-RO"/>
              </w:rPr>
            </w:pPr>
            <w:r w:rsidRPr="00614F55">
              <w:rPr>
                <w:rFonts w:cs="Times New Roman"/>
                <w:sz w:val="24"/>
                <w:szCs w:val="24"/>
                <w:lang w:val="ro-RO"/>
              </w:rPr>
              <w:t xml:space="preserve">Locația </w:t>
            </w:r>
          </w:p>
        </w:tc>
        <w:tc>
          <w:tcPr>
            <w:tcW w:w="6940" w:type="dxa"/>
          </w:tcPr>
          <w:p w:rsidR="00E211EE" w:rsidRPr="00614F55" w:rsidRDefault="00E211EE" w:rsidP="0020442A">
            <w:pPr>
              <w:rPr>
                <w:rFonts w:cs="Times New Roman"/>
                <w:sz w:val="24"/>
                <w:szCs w:val="24"/>
                <w:lang w:val="ro-RO"/>
              </w:rPr>
            </w:pPr>
            <w:r w:rsidRPr="00614F55">
              <w:rPr>
                <w:rFonts w:cs="Times New Roman"/>
                <w:sz w:val="24"/>
                <w:szCs w:val="24"/>
                <w:lang w:val="ro-RO"/>
              </w:rPr>
              <w:t>Catedra sănătate mintală, psihologie medicală și psihoterapie.</w:t>
            </w:r>
          </w:p>
          <w:p w:rsidR="00E211EE" w:rsidRPr="00614F55" w:rsidRDefault="00E211EE" w:rsidP="0020442A">
            <w:pPr>
              <w:rPr>
                <w:rFonts w:cs="Times New Roman"/>
                <w:sz w:val="24"/>
                <w:szCs w:val="24"/>
                <w:lang w:val="ro-RO"/>
              </w:rPr>
            </w:pPr>
            <w:proofErr w:type="spellStart"/>
            <w:r w:rsidRPr="00614F55">
              <w:rPr>
                <w:rFonts w:cs="Times New Roman"/>
                <w:sz w:val="24"/>
                <w:szCs w:val="24"/>
                <w:lang w:val="ro-RO"/>
              </w:rPr>
              <w:t>mun.Chișinău</w:t>
            </w:r>
            <w:proofErr w:type="spellEnd"/>
            <w:r w:rsidRPr="00614F55">
              <w:rPr>
                <w:rFonts w:cs="Times New Roman"/>
                <w:sz w:val="24"/>
                <w:szCs w:val="24"/>
                <w:lang w:val="ro-RO"/>
              </w:rPr>
              <w:t xml:space="preserve">, </w:t>
            </w:r>
            <w:proofErr w:type="spellStart"/>
            <w:r w:rsidRPr="00614F55">
              <w:rPr>
                <w:rFonts w:cs="Times New Roman"/>
                <w:sz w:val="24"/>
                <w:szCs w:val="24"/>
                <w:lang w:val="ro-RO"/>
              </w:rPr>
              <w:t>bd.Ștefan</w:t>
            </w:r>
            <w:proofErr w:type="spellEnd"/>
            <w:r w:rsidRPr="00614F55">
              <w:rPr>
                <w:rFonts w:cs="Times New Roman"/>
                <w:sz w:val="24"/>
                <w:szCs w:val="24"/>
                <w:lang w:val="ro-RO"/>
              </w:rPr>
              <w:t xml:space="preserve"> cel Mare și </w:t>
            </w:r>
            <w:proofErr w:type="spellStart"/>
            <w:r w:rsidRPr="00614F55">
              <w:rPr>
                <w:rFonts w:cs="Times New Roman"/>
                <w:sz w:val="24"/>
                <w:szCs w:val="24"/>
                <w:lang w:val="ro-RO"/>
              </w:rPr>
              <w:t>Sfînt</w:t>
            </w:r>
            <w:proofErr w:type="spellEnd"/>
            <w:r w:rsidRPr="00614F55">
              <w:rPr>
                <w:rFonts w:cs="Times New Roman"/>
                <w:sz w:val="24"/>
                <w:szCs w:val="24"/>
                <w:lang w:val="ro-RO"/>
              </w:rPr>
              <w:t>, 194-B, MD-2004</w:t>
            </w:r>
          </w:p>
          <w:p w:rsidR="00E211EE" w:rsidRPr="00614F55" w:rsidRDefault="00E211EE" w:rsidP="0020442A">
            <w:pPr>
              <w:rPr>
                <w:rFonts w:cs="Times New Roman"/>
                <w:sz w:val="24"/>
                <w:szCs w:val="24"/>
                <w:lang w:val="ro-RO"/>
              </w:rPr>
            </w:pPr>
            <w:r w:rsidRPr="00614F55">
              <w:rPr>
                <w:rFonts w:cs="Times New Roman"/>
                <w:sz w:val="24"/>
                <w:szCs w:val="24"/>
                <w:lang w:val="ro-RO"/>
              </w:rPr>
              <w:t xml:space="preserve">Spitalul clinic de psihiatrie, </w:t>
            </w:r>
            <w:proofErr w:type="spellStart"/>
            <w:r w:rsidRPr="00614F55">
              <w:rPr>
                <w:rFonts w:cs="Times New Roman"/>
                <w:sz w:val="24"/>
                <w:szCs w:val="24"/>
                <w:lang w:val="ro-RO"/>
              </w:rPr>
              <w:t>str.Costiujeni</w:t>
            </w:r>
            <w:proofErr w:type="spellEnd"/>
            <w:r w:rsidRPr="00614F55">
              <w:rPr>
                <w:rFonts w:cs="Times New Roman"/>
                <w:sz w:val="24"/>
                <w:szCs w:val="24"/>
                <w:lang w:val="ro-RO"/>
              </w:rPr>
              <w:t xml:space="preserve"> 3.</w:t>
            </w:r>
          </w:p>
        </w:tc>
      </w:tr>
      <w:tr w:rsidR="00E211EE" w:rsidRPr="009F770C" w:rsidTr="0020442A">
        <w:tc>
          <w:tcPr>
            <w:tcW w:w="2405" w:type="dxa"/>
            <w:vMerge w:val="restart"/>
          </w:tcPr>
          <w:p w:rsidR="00E211EE" w:rsidRPr="00614F55" w:rsidRDefault="00E211EE" w:rsidP="0020442A">
            <w:pPr>
              <w:rPr>
                <w:rFonts w:cs="Times New Roman"/>
                <w:sz w:val="24"/>
                <w:szCs w:val="24"/>
                <w:lang w:val="ro-RO"/>
              </w:rPr>
            </w:pPr>
            <w:r w:rsidRPr="00614F55">
              <w:rPr>
                <w:rFonts w:cs="Times New Roman"/>
                <w:sz w:val="24"/>
                <w:szCs w:val="24"/>
                <w:lang w:val="ro-RO"/>
              </w:rPr>
              <w:t>Condiționări și exigențe prealabile de:</w:t>
            </w:r>
          </w:p>
          <w:p w:rsidR="00E211EE" w:rsidRPr="00614F55" w:rsidRDefault="00E211EE" w:rsidP="0020442A">
            <w:pPr>
              <w:rPr>
                <w:rFonts w:cs="Times New Roman"/>
                <w:sz w:val="24"/>
                <w:szCs w:val="24"/>
                <w:lang w:val="ro-RO"/>
              </w:rPr>
            </w:pPr>
          </w:p>
        </w:tc>
        <w:tc>
          <w:tcPr>
            <w:tcW w:w="6940" w:type="dxa"/>
          </w:tcPr>
          <w:p w:rsidR="00E211EE" w:rsidRPr="00614F55" w:rsidRDefault="00E211EE" w:rsidP="0020442A">
            <w:pPr>
              <w:pStyle w:val="BodyText"/>
              <w:spacing w:after="0"/>
              <w:contextualSpacing/>
              <w:jc w:val="both"/>
              <w:rPr>
                <w:rFonts w:ascii="Times New Roman" w:hAnsi="Times New Roman" w:cs="Times New Roman"/>
                <w:sz w:val="24"/>
                <w:szCs w:val="24"/>
                <w:lang w:val="ro-RO"/>
              </w:rPr>
            </w:pPr>
            <w:r w:rsidRPr="00614F55">
              <w:rPr>
                <w:rFonts w:ascii="Times New Roman" w:hAnsi="Times New Roman" w:cs="Times New Roman"/>
                <w:sz w:val="24"/>
                <w:szCs w:val="24"/>
                <w:lang w:val="ro-RO"/>
              </w:rPr>
              <w:t>Pentru însușirea eficientă și realizarea cu succes a activităților masteranzi trebuie să: cunoască limba de predare; să posede cunoștințe în domeniul medicinii, psihologiei, sănătății publice și epidemiologiei clinice.</w:t>
            </w:r>
          </w:p>
        </w:tc>
      </w:tr>
      <w:tr w:rsidR="00E211EE" w:rsidRPr="009F770C" w:rsidTr="0020442A">
        <w:tc>
          <w:tcPr>
            <w:tcW w:w="2405" w:type="dxa"/>
            <w:vMerge/>
          </w:tcPr>
          <w:p w:rsidR="00E211EE" w:rsidRPr="00614F55" w:rsidRDefault="00E211EE" w:rsidP="0020442A">
            <w:pPr>
              <w:rPr>
                <w:rFonts w:cs="Times New Roman"/>
                <w:sz w:val="24"/>
                <w:szCs w:val="24"/>
                <w:lang w:val="ro-RO"/>
              </w:rPr>
            </w:pPr>
          </w:p>
        </w:tc>
        <w:tc>
          <w:tcPr>
            <w:tcW w:w="6940" w:type="dxa"/>
          </w:tcPr>
          <w:p w:rsidR="00E211EE" w:rsidRPr="00614F55" w:rsidRDefault="00E211EE" w:rsidP="0020442A">
            <w:pPr>
              <w:pStyle w:val="ListParagraph"/>
              <w:widowControl w:val="0"/>
              <w:ind w:left="0"/>
              <w:contextualSpacing w:val="0"/>
              <w:jc w:val="both"/>
              <w:rPr>
                <w:rFonts w:cs="Times New Roman"/>
                <w:sz w:val="24"/>
                <w:szCs w:val="24"/>
                <w:lang w:val="ro-RO"/>
              </w:rPr>
            </w:pPr>
            <w:r w:rsidRPr="00614F55">
              <w:rPr>
                <w:rFonts w:cs="Times New Roman"/>
                <w:sz w:val="24"/>
                <w:szCs w:val="24"/>
                <w:lang w:val="ro-RO"/>
              </w:rPr>
              <w:t>Să posede competențe digitale (utilizarea internetului, procesarea documentelor, tabelelor electronice și prezentărilor); abilitatea de comunicare și lucru în echipă; calități–comprehensiune, toleranță, autonomie.</w:t>
            </w:r>
          </w:p>
        </w:tc>
      </w:tr>
      <w:tr w:rsidR="00E211EE" w:rsidRPr="009F770C" w:rsidTr="0020442A">
        <w:tc>
          <w:tcPr>
            <w:tcW w:w="2405" w:type="dxa"/>
            <w:shd w:val="clear" w:color="auto" w:fill="D9E2F3" w:themeFill="accent1" w:themeFillTint="33"/>
          </w:tcPr>
          <w:p w:rsidR="00E211EE" w:rsidRPr="00614F55" w:rsidRDefault="00E211EE" w:rsidP="0020442A">
            <w:pPr>
              <w:rPr>
                <w:rFonts w:cs="Times New Roman"/>
                <w:sz w:val="24"/>
                <w:szCs w:val="24"/>
                <w:lang w:val="ro-RO"/>
              </w:rPr>
            </w:pPr>
            <w:r w:rsidRPr="00614F55">
              <w:rPr>
                <w:rFonts w:cs="Times New Roman"/>
                <w:sz w:val="24"/>
                <w:szCs w:val="24"/>
                <w:lang w:val="ro-RO"/>
              </w:rPr>
              <w:t>Misiunea disciplinei</w:t>
            </w:r>
          </w:p>
        </w:tc>
        <w:tc>
          <w:tcPr>
            <w:tcW w:w="6940" w:type="dxa"/>
          </w:tcPr>
          <w:p w:rsidR="00E211EE" w:rsidRPr="00614F55" w:rsidRDefault="00E211EE" w:rsidP="0020442A">
            <w:pPr>
              <w:pStyle w:val="BodyTextIndent2"/>
              <w:ind w:left="0"/>
              <w:jc w:val="both"/>
              <w:rPr>
                <w:sz w:val="24"/>
                <w:szCs w:val="24"/>
              </w:rPr>
            </w:pPr>
            <w:r w:rsidRPr="00614F55">
              <w:rPr>
                <w:sz w:val="24"/>
                <w:szCs w:val="24"/>
              </w:rPr>
              <w:t>De a oferi masteranzilor cunoștințe privind conceptul sănătății mintale globale și pilonii de bază – recunoașterea sănătății mintale ca un bun public global, care necesită acțiuni și intervenții dincolo de sectorul sănătății; abordări dimensionale care conceptualizează sănătatea mintală ca un continuum de la bunăstare la boală, permițând un accent egal pe prevenirea și tratamentul tulburărilor mintale alături de promovarea și menținerea sănătății mintale, precum și dezvoltarea abilităților de înțelegere a aspectelor precum: organizarea serviciilor pentru sănătatea mintală, tendințele reformei globale și implicațiile pentru sănătatea mintală, tratamentul și îngrijirile persoanelor cu probleme de sănătate mintală, finanțarea serviciilor de sănătate mintală, drepturile omului un principiu central al acțiunii globale în domeniul sănătății mintale și subliniază rolul critic pe care trebuie să îl joace persoanele cu experiență trăită în afecțiunile de sănătate mintală în modelarea prevenirii și îngrijirii. Înțelegerea asupra sănătății mintale și capacitatea masterandului de a interveni se află la intersecția mai multor surse de cunoaștere.</w:t>
            </w:r>
          </w:p>
        </w:tc>
      </w:tr>
      <w:tr w:rsidR="00E211EE" w:rsidRPr="00614F55" w:rsidTr="0020442A">
        <w:tc>
          <w:tcPr>
            <w:tcW w:w="2405" w:type="dxa"/>
          </w:tcPr>
          <w:p w:rsidR="00E211EE" w:rsidRPr="00614F55" w:rsidRDefault="00E211EE" w:rsidP="0020442A">
            <w:pPr>
              <w:rPr>
                <w:rFonts w:cs="Times New Roman"/>
                <w:sz w:val="24"/>
                <w:szCs w:val="24"/>
                <w:lang w:val="ro-RO"/>
              </w:rPr>
            </w:pPr>
            <w:r w:rsidRPr="00614F55">
              <w:rPr>
                <w:rFonts w:cs="Times New Roman"/>
                <w:sz w:val="24"/>
                <w:szCs w:val="24"/>
                <w:lang w:val="ro-RO"/>
              </w:rPr>
              <w:t>Tematica prezentată</w:t>
            </w:r>
          </w:p>
          <w:p w:rsidR="00E211EE" w:rsidRPr="00614F55" w:rsidRDefault="00E211EE" w:rsidP="0020442A">
            <w:pPr>
              <w:rPr>
                <w:rFonts w:cs="Times New Roman"/>
                <w:sz w:val="24"/>
                <w:szCs w:val="24"/>
                <w:lang w:val="ro-RO"/>
              </w:rPr>
            </w:pPr>
          </w:p>
        </w:tc>
        <w:tc>
          <w:tcPr>
            <w:tcW w:w="6940" w:type="dxa"/>
          </w:tcPr>
          <w:p w:rsidR="00E211EE" w:rsidRPr="00614F55" w:rsidRDefault="00E211EE" w:rsidP="0020442A">
            <w:pPr>
              <w:jc w:val="both"/>
              <w:rPr>
                <w:rFonts w:cs="Times New Roman"/>
                <w:lang w:val="ro-RO"/>
              </w:rPr>
            </w:pPr>
            <w:r w:rsidRPr="00614F55">
              <w:rPr>
                <w:rFonts w:cs="Times New Roman"/>
                <w:lang w:val="ro-RO"/>
              </w:rPr>
              <w:t>Sănătatea mintală globală – perspectiva internațională.</w:t>
            </w:r>
          </w:p>
          <w:p w:rsidR="00E211EE" w:rsidRPr="00614F55" w:rsidRDefault="00E211EE" w:rsidP="0020442A">
            <w:pPr>
              <w:jc w:val="both"/>
              <w:rPr>
                <w:rFonts w:cs="Times New Roman"/>
                <w:lang w:val="ro-RO"/>
              </w:rPr>
            </w:pPr>
            <w:r w:rsidRPr="00614F55">
              <w:rPr>
                <w:rFonts w:cs="Times New Roman"/>
                <w:lang w:val="ro-RO"/>
              </w:rPr>
              <w:t>Politici guvernamentale care influențează sănătatea mintală.</w:t>
            </w:r>
          </w:p>
          <w:p w:rsidR="00E211EE" w:rsidRPr="00614F55" w:rsidRDefault="00E211EE" w:rsidP="0020442A">
            <w:pPr>
              <w:jc w:val="both"/>
              <w:rPr>
                <w:rFonts w:cs="Times New Roman"/>
                <w:lang w:val="ro-RO"/>
              </w:rPr>
            </w:pPr>
            <w:r w:rsidRPr="00614F55">
              <w:rPr>
                <w:rFonts w:cs="Times New Roman"/>
                <w:lang w:val="ro-RO"/>
              </w:rPr>
              <w:t>Implementarea politicii, a planurilor și a programelor în sănătate mintală.</w:t>
            </w:r>
          </w:p>
          <w:p w:rsidR="00E211EE" w:rsidRPr="00614F55" w:rsidRDefault="00E211EE" w:rsidP="0020442A">
            <w:pPr>
              <w:jc w:val="both"/>
              <w:rPr>
                <w:rFonts w:cs="Times New Roman"/>
                <w:lang w:val="ro-RO"/>
              </w:rPr>
            </w:pPr>
            <w:r w:rsidRPr="00614F55">
              <w:rPr>
                <w:rFonts w:cs="Times New Roman"/>
                <w:lang w:val="ro-RO"/>
              </w:rPr>
              <w:t xml:space="preserve">Conceptul de </w:t>
            </w:r>
            <w:proofErr w:type="spellStart"/>
            <w:r w:rsidRPr="00614F55">
              <w:rPr>
                <w:rFonts w:cs="Times New Roman"/>
                <w:lang w:val="ro-RO"/>
              </w:rPr>
              <w:t>advocacy</w:t>
            </w:r>
            <w:proofErr w:type="spellEnd"/>
            <w:r w:rsidRPr="00614F55">
              <w:rPr>
                <w:rFonts w:cs="Times New Roman"/>
                <w:lang w:val="ro-RO"/>
              </w:rPr>
              <w:t>, dezvoltarea și importanța în domeniul sănătății mintale.</w:t>
            </w:r>
          </w:p>
          <w:p w:rsidR="00E211EE" w:rsidRPr="00614F55" w:rsidRDefault="00E211EE" w:rsidP="0020442A">
            <w:pPr>
              <w:jc w:val="both"/>
              <w:rPr>
                <w:rFonts w:cs="Times New Roman"/>
                <w:lang w:val="ro-RO"/>
              </w:rPr>
            </w:pPr>
            <w:r w:rsidRPr="00614F55">
              <w:rPr>
                <w:rFonts w:cs="Times New Roman"/>
                <w:lang w:val="ro-RO"/>
              </w:rPr>
              <w:t>Pașii pentru obținerea finanțării sănătății mintale. Bariere și soluții.</w:t>
            </w:r>
          </w:p>
          <w:p w:rsidR="00E211EE" w:rsidRPr="00614F55" w:rsidRDefault="00E211EE" w:rsidP="0020442A">
            <w:pPr>
              <w:jc w:val="both"/>
              <w:rPr>
                <w:rFonts w:cs="Times New Roman"/>
                <w:sz w:val="24"/>
                <w:szCs w:val="24"/>
                <w:lang w:val="ro-RO"/>
              </w:rPr>
            </w:pPr>
            <w:r w:rsidRPr="00614F55">
              <w:rPr>
                <w:rFonts w:cs="Times New Roman"/>
                <w:sz w:val="24"/>
                <w:szCs w:val="24"/>
                <w:lang w:val="ro-RO"/>
              </w:rPr>
              <w:t>Îmbunătățirea accesului la medicamente psihotrope. Promovarea utilizării celor mai indicate medicamente psihotrope.</w:t>
            </w:r>
          </w:p>
          <w:p w:rsidR="00E211EE" w:rsidRPr="00614F55" w:rsidRDefault="00E211EE" w:rsidP="0020442A">
            <w:pPr>
              <w:jc w:val="both"/>
              <w:rPr>
                <w:rFonts w:cs="Times New Roman"/>
                <w:lang w:val="ro-RO"/>
              </w:rPr>
            </w:pPr>
            <w:r w:rsidRPr="00614F55">
              <w:rPr>
                <w:rFonts w:cs="Times New Roman"/>
                <w:lang w:val="ro-RO"/>
              </w:rPr>
              <w:t>Organizarea serviciilor de sănătate mintală la nivel mondial: context istoric și actual. Probleme cheie în organizarea serviciilor de sănătate mintală.</w:t>
            </w:r>
          </w:p>
          <w:p w:rsidR="00E211EE" w:rsidRPr="00614F55" w:rsidRDefault="00E211EE" w:rsidP="0020442A">
            <w:pPr>
              <w:jc w:val="both"/>
              <w:rPr>
                <w:rFonts w:cs="Times New Roman"/>
                <w:lang w:val="ro-RO"/>
              </w:rPr>
            </w:pPr>
            <w:r w:rsidRPr="00614F55">
              <w:rPr>
                <w:rFonts w:cs="Times New Roman"/>
                <w:lang w:val="ro-RO"/>
              </w:rPr>
              <w:lastRenderedPageBreak/>
              <w:t xml:space="preserve">Servicii instituționale în spitalele de psihiatrie. Servicii de sănătate mintală integrate în sistemul general de sănătate. </w:t>
            </w:r>
          </w:p>
          <w:p w:rsidR="00E211EE" w:rsidRPr="00614F55" w:rsidRDefault="00E211EE" w:rsidP="0020442A">
            <w:pPr>
              <w:jc w:val="both"/>
              <w:rPr>
                <w:rFonts w:cs="Times New Roman"/>
                <w:lang w:val="ro-RO"/>
              </w:rPr>
            </w:pPr>
            <w:r w:rsidRPr="00614F55">
              <w:rPr>
                <w:rFonts w:cs="Times New Roman"/>
                <w:lang w:val="ro-RO"/>
              </w:rPr>
              <w:t>Servicii comunitare de sănătate mintală. Centrul Comunitar de Sănătate Mintală (CCSM) ca și structură principală în psihiatria comunitară. Organizarea și funcționarea centrului de zi. Colaborare intersectorială.</w:t>
            </w:r>
          </w:p>
          <w:p w:rsidR="00E211EE" w:rsidRPr="00614F55" w:rsidRDefault="00E211EE" w:rsidP="0020442A">
            <w:pPr>
              <w:jc w:val="both"/>
              <w:rPr>
                <w:rFonts w:cs="Times New Roman"/>
                <w:sz w:val="24"/>
                <w:szCs w:val="24"/>
                <w:lang w:val="ro-RO"/>
              </w:rPr>
            </w:pPr>
            <w:r w:rsidRPr="00614F55">
              <w:rPr>
                <w:rFonts w:cs="Times New Roman"/>
                <w:sz w:val="24"/>
                <w:szCs w:val="24"/>
                <w:lang w:val="ro-RO"/>
              </w:rPr>
              <w:t>Organizarea și funcționarea centrelor de plasament temporar, asistența la domiciliu și a serviciului de locuințe protejate. Organizarea serviciilor în perioade de crize umanitare.</w:t>
            </w:r>
          </w:p>
        </w:tc>
      </w:tr>
      <w:tr w:rsidR="00E211EE" w:rsidRPr="009F770C" w:rsidTr="0020442A">
        <w:tc>
          <w:tcPr>
            <w:tcW w:w="2405" w:type="dxa"/>
            <w:shd w:val="clear" w:color="auto" w:fill="D9E2F3" w:themeFill="accent1" w:themeFillTint="33"/>
          </w:tcPr>
          <w:p w:rsidR="00E211EE" w:rsidRPr="00614F55" w:rsidRDefault="00E211EE" w:rsidP="0020442A">
            <w:pPr>
              <w:rPr>
                <w:rFonts w:cs="Times New Roman"/>
                <w:sz w:val="24"/>
                <w:szCs w:val="24"/>
                <w:lang w:val="ro-RO"/>
              </w:rPr>
            </w:pPr>
            <w:r w:rsidRPr="00614F55">
              <w:rPr>
                <w:rFonts w:cs="Times New Roman"/>
                <w:sz w:val="24"/>
                <w:szCs w:val="24"/>
                <w:lang w:val="ro-RO"/>
              </w:rPr>
              <w:lastRenderedPageBreak/>
              <w:t>Finalități de studiu</w:t>
            </w:r>
          </w:p>
          <w:p w:rsidR="00E211EE" w:rsidRPr="00614F55" w:rsidRDefault="00E211EE" w:rsidP="0020442A">
            <w:pPr>
              <w:rPr>
                <w:rFonts w:cs="Times New Roman"/>
                <w:sz w:val="24"/>
                <w:szCs w:val="24"/>
                <w:lang w:val="ro-RO"/>
              </w:rPr>
            </w:pPr>
          </w:p>
        </w:tc>
        <w:tc>
          <w:tcPr>
            <w:tcW w:w="6940" w:type="dxa"/>
          </w:tcPr>
          <w:p w:rsidR="00E211EE" w:rsidRPr="00614F55" w:rsidRDefault="00E211EE" w:rsidP="0020442A">
            <w:pPr>
              <w:pStyle w:val="ListParagraph1"/>
              <w:ind w:left="0"/>
              <w:jc w:val="both"/>
              <w:rPr>
                <w:rFonts w:ascii="Times New Roman" w:hAnsi="Times New Roman"/>
                <w:sz w:val="24"/>
                <w:szCs w:val="24"/>
              </w:rPr>
            </w:pPr>
            <w:r w:rsidRPr="00614F55">
              <w:rPr>
                <w:rFonts w:ascii="Times New Roman" w:hAnsi="Times New Roman"/>
                <w:sz w:val="24"/>
                <w:szCs w:val="24"/>
              </w:rPr>
              <w:t>să cunoască structura sistemului de sănătate mintală, organizarea și funcționarea serviciilor de sănătate mintală;</w:t>
            </w:r>
          </w:p>
          <w:p w:rsidR="00E211EE" w:rsidRPr="00614F55" w:rsidRDefault="00E211EE" w:rsidP="0020442A">
            <w:pPr>
              <w:pStyle w:val="ListParagraph1"/>
              <w:ind w:left="0"/>
              <w:jc w:val="both"/>
              <w:rPr>
                <w:rFonts w:ascii="Times New Roman" w:hAnsi="Times New Roman"/>
                <w:sz w:val="24"/>
                <w:szCs w:val="24"/>
              </w:rPr>
            </w:pPr>
            <w:r w:rsidRPr="00614F55">
              <w:rPr>
                <w:rFonts w:ascii="Times New Roman" w:hAnsi="Times New Roman"/>
                <w:sz w:val="24"/>
                <w:szCs w:val="24"/>
              </w:rPr>
              <w:t>să cunoască politici pentru sănătatea mintală, planuri și programe pentru implementare;</w:t>
            </w:r>
          </w:p>
          <w:p w:rsidR="00E211EE" w:rsidRPr="00614F55" w:rsidRDefault="00E211EE" w:rsidP="0020442A">
            <w:pPr>
              <w:pStyle w:val="ListParagraph1"/>
              <w:ind w:left="0"/>
              <w:jc w:val="both"/>
              <w:rPr>
                <w:rFonts w:ascii="Times New Roman" w:hAnsi="Times New Roman"/>
                <w:sz w:val="24"/>
                <w:szCs w:val="24"/>
              </w:rPr>
            </w:pPr>
            <w:r w:rsidRPr="00614F55">
              <w:rPr>
                <w:rFonts w:ascii="Times New Roman" w:hAnsi="Times New Roman"/>
                <w:sz w:val="24"/>
                <w:szCs w:val="24"/>
              </w:rPr>
              <w:t>să cunoască și aplice cadrul legal pentru sănătatea mintală și drepturile omului în activitatea profesională;</w:t>
            </w:r>
          </w:p>
          <w:p w:rsidR="00E211EE" w:rsidRPr="00614F55" w:rsidRDefault="00E211EE" w:rsidP="0020442A">
            <w:pPr>
              <w:pStyle w:val="ListParagraph1"/>
              <w:ind w:left="0"/>
              <w:jc w:val="both"/>
              <w:rPr>
                <w:rFonts w:ascii="Times New Roman" w:hAnsi="Times New Roman"/>
                <w:sz w:val="24"/>
                <w:szCs w:val="24"/>
              </w:rPr>
            </w:pPr>
            <w:r w:rsidRPr="00614F55">
              <w:rPr>
                <w:rFonts w:ascii="Times New Roman" w:hAnsi="Times New Roman"/>
                <w:sz w:val="24"/>
                <w:szCs w:val="24"/>
              </w:rPr>
              <w:t>să implementeze planificarea și bugetare pentru livrarea serviciilor pentru sănătate mintală;</w:t>
            </w:r>
          </w:p>
          <w:p w:rsidR="00E211EE" w:rsidRPr="00614F55" w:rsidRDefault="00E211EE" w:rsidP="0020442A">
            <w:pPr>
              <w:pStyle w:val="ListParagraph1"/>
              <w:ind w:left="0"/>
              <w:jc w:val="both"/>
              <w:rPr>
                <w:rFonts w:ascii="Times New Roman" w:hAnsi="Times New Roman"/>
                <w:sz w:val="24"/>
                <w:szCs w:val="24"/>
              </w:rPr>
            </w:pPr>
            <w:r w:rsidRPr="00614F55">
              <w:rPr>
                <w:rFonts w:ascii="Times New Roman" w:hAnsi="Times New Roman"/>
                <w:sz w:val="24"/>
                <w:szCs w:val="24"/>
              </w:rPr>
              <w:t>să fie capabil să implementeze cunoștințele acumulate în activitatea de cercetare și profesională;</w:t>
            </w:r>
          </w:p>
          <w:p w:rsidR="00E211EE" w:rsidRPr="00614F55" w:rsidRDefault="00E211EE" w:rsidP="0020442A">
            <w:pPr>
              <w:pStyle w:val="ListParagraph1"/>
              <w:ind w:left="0"/>
              <w:jc w:val="both"/>
              <w:rPr>
                <w:rFonts w:ascii="Times New Roman" w:hAnsi="Times New Roman"/>
                <w:sz w:val="24"/>
                <w:szCs w:val="24"/>
              </w:rPr>
            </w:pPr>
            <w:r w:rsidRPr="00614F55">
              <w:rPr>
                <w:rFonts w:ascii="Times New Roman" w:hAnsi="Times New Roman"/>
                <w:sz w:val="24"/>
                <w:szCs w:val="24"/>
              </w:rPr>
              <w:t>să fie competent să îmbunătățească calitatea serviciilor pentru sănătate mintală.</w:t>
            </w:r>
          </w:p>
        </w:tc>
      </w:tr>
      <w:tr w:rsidR="00E211EE" w:rsidRPr="009F770C" w:rsidTr="0020442A">
        <w:tc>
          <w:tcPr>
            <w:tcW w:w="2405" w:type="dxa"/>
          </w:tcPr>
          <w:p w:rsidR="00E211EE" w:rsidRPr="00614F55" w:rsidRDefault="00E211EE" w:rsidP="0020442A">
            <w:pPr>
              <w:rPr>
                <w:rFonts w:cs="Times New Roman"/>
                <w:sz w:val="24"/>
                <w:szCs w:val="24"/>
                <w:lang w:val="ro-RO"/>
              </w:rPr>
            </w:pPr>
            <w:r w:rsidRPr="00614F55">
              <w:rPr>
                <w:rFonts w:cs="Times New Roman"/>
                <w:sz w:val="24"/>
                <w:szCs w:val="24"/>
                <w:lang w:val="ro-RO"/>
              </w:rPr>
              <w:t>Manopere practice achiziționate</w:t>
            </w:r>
          </w:p>
          <w:p w:rsidR="00E211EE" w:rsidRPr="00614F55" w:rsidRDefault="00E211EE" w:rsidP="0020442A">
            <w:pPr>
              <w:rPr>
                <w:rFonts w:cs="Times New Roman"/>
                <w:sz w:val="24"/>
                <w:szCs w:val="24"/>
                <w:lang w:val="ro-RO"/>
              </w:rPr>
            </w:pPr>
          </w:p>
        </w:tc>
        <w:tc>
          <w:tcPr>
            <w:tcW w:w="6940" w:type="dxa"/>
          </w:tcPr>
          <w:p w:rsidR="00E211EE" w:rsidRPr="00614F55" w:rsidRDefault="00E211EE" w:rsidP="0020442A">
            <w:pPr>
              <w:pStyle w:val="BodyTextIndent2"/>
              <w:ind w:left="0"/>
              <w:jc w:val="both"/>
              <w:rPr>
                <w:sz w:val="24"/>
                <w:szCs w:val="24"/>
              </w:rPr>
            </w:pPr>
            <w:r w:rsidRPr="00614F55">
              <w:rPr>
                <w:sz w:val="24"/>
                <w:szCs w:val="24"/>
              </w:rPr>
              <w:t>Pregătirea unui plan strategic de dezvoltare în sănătatea mintală privind accesibilitate la remedii medicamentoase utilizate în tulburări de sănătate mintală;</w:t>
            </w:r>
          </w:p>
          <w:p w:rsidR="00E211EE" w:rsidRPr="00614F55" w:rsidRDefault="00E211EE" w:rsidP="0020442A">
            <w:pPr>
              <w:pStyle w:val="BodyTextIndent2"/>
              <w:ind w:left="0"/>
              <w:jc w:val="both"/>
              <w:rPr>
                <w:szCs w:val="24"/>
              </w:rPr>
            </w:pPr>
            <w:r w:rsidRPr="00614F55">
              <w:rPr>
                <w:szCs w:val="24"/>
              </w:rPr>
              <w:t xml:space="preserve">Dezvoltarea unei strategii privind creșterea serviciilor de sănătate mintală integrate în sistemul general de sănătate; </w:t>
            </w:r>
          </w:p>
          <w:p w:rsidR="00E211EE" w:rsidRPr="00614F55" w:rsidRDefault="00E211EE" w:rsidP="0020442A">
            <w:pPr>
              <w:pStyle w:val="BodyTextIndent2"/>
              <w:ind w:left="0"/>
              <w:contextualSpacing/>
              <w:jc w:val="both"/>
              <w:rPr>
                <w:sz w:val="24"/>
                <w:szCs w:val="24"/>
              </w:rPr>
            </w:pPr>
            <w:r w:rsidRPr="00614F55">
              <w:rPr>
                <w:sz w:val="24"/>
                <w:szCs w:val="24"/>
              </w:rPr>
              <w:t>Abilitatea de a integra cunoștințele în domeniile disciplinelor fundamentale, preclinice și celor clinice.</w:t>
            </w:r>
          </w:p>
        </w:tc>
      </w:tr>
      <w:tr w:rsidR="00E211EE" w:rsidRPr="00614F55" w:rsidTr="0020442A">
        <w:tc>
          <w:tcPr>
            <w:tcW w:w="2405" w:type="dxa"/>
            <w:shd w:val="clear" w:color="auto" w:fill="D9E2F3" w:themeFill="accent1" w:themeFillTint="33"/>
          </w:tcPr>
          <w:p w:rsidR="00E211EE" w:rsidRPr="00614F55" w:rsidRDefault="00E211EE" w:rsidP="0020442A">
            <w:pPr>
              <w:rPr>
                <w:rFonts w:cs="Times New Roman"/>
                <w:sz w:val="24"/>
                <w:szCs w:val="24"/>
                <w:lang w:val="ro-RO"/>
              </w:rPr>
            </w:pPr>
            <w:r w:rsidRPr="00614F55">
              <w:rPr>
                <w:rFonts w:cs="Times New Roman"/>
                <w:sz w:val="24"/>
                <w:szCs w:val="24"/>
                <w:lang w:val="ro-RO"/>
              </w:rPr>
              <w:t>Forma de evaluare</w:t>
            </w:r>
          </w:p>
        </w:tc>
        <w:tc>
          <w:tcPr>
            <w:tcW w:w="6940" w:type="dxa"/>
          </w:tcPr>
          <w:p w:rsidR="00E211EE" w:rsidRPr="00614F55" w:rsidRDefault="00E211EE" w:rsidP="0020442A">
            <w:pPr>
              <w:rPr>
                <w:rFonts w:cs="Times New Roman"/>
                <w:sz w:val="24"/>
                <w:szCs w:val="24"/>
                <w:lang w:val="ro-RO"/>
              </w:rPr>
            </w:pPr>
            <w:r w:rsidRPr="00614F55">
              <w:rPr>
                <w:rFonts w:cs="Times New Roman"/>
                <w:sz w:val="24"/>
                <w:szCs w:val="24"/>
                <w:lang w:val="ro-RO"/>
              </w:rPr>
              <w:t>Examen verbal</w:t>
            </w:r>
          </w:p>
        </w:tc>
      </w:tr>
    </w:tbl>
    <w:p w:rsidR="008211B8" w:rsidRDefault="008211B8"/>
    <w:sectPr w:rsidR="008211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EE"/>
    <w:rsid w:val="008211B8"/>
    <w:rsid w:val="00E211EE"/>
  </w:rsids>
  <m:mathPr>
    <m:mathFont m:val="Cambria Math"/>
    <m:brkBin m:val="before"/>
    <m:brkBinSub m:val="--"/>
    <m:smallFrac m:val="0"/>
    <m:dispDef/>
    <m:lMargin m:val="0"/>
    <m:rMargin m:val="0"/>
    <m:defJc m:val="centerGroup"/>
    <m:wrapIndent m:val="1440"/>
    <m:intLim m:val="subSup"/>
    <m:naryLim m:val="undOvr"/>
  </m:mathPr>
  <w:themeFontLang w:val="en-MD"/>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1741B6A-DA08-3840-BC7A-6C1F5B25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1EE"/>
    <w:pPr>
      <w:contextualSpacing/>
    </w:pPr>
    <w:rPr>
      <w:rFonts w:ascii="Times New Roman" w:eastAsiaTheme="minorEastAsia" w:hAnsi="Times New Roman"/>
      <w:kern w:val="0"/>
      <w:lang w:val="ru-MD"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11EE"/>
    <w:rPr>
      <w:rFonts w:eastAsiaTheme="minorEastAsia"/>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11EE"/>
    <w:pPr>
      <w:ind w:left="720"/>
    </w:pPr>
  </w:style>
  <w:style w:type="paragraph" w:styleId="BodyTextIndent2">
    <w:name w:val="Body Text Indent 2"/>
    <w:basedOn w:val="Normal"/>
    <w:link w:val="BodyTextIndent2Char"/>
    <w:rsid w:val="00E211EE"/>
    <w:pPr>
      <w:ind w:left="360"/>
      <w:contextualSpacing w:val="0"/>
    </w:pPr>
    <w:rPr>
      <w:rFonts w:eastAsia="Times New Roman" w:cs="Times New Roman"/>
      <w:szCs w:val="20"/>
      <w:lang w:val="ro-RO"/>
    </w:rPr>
  </w:style>
  <w:style w:type="character" w:customStyle="1" w:styleId="BodyTextIndent2Char">
    <w:name w:val="Body Text Indent 2 Char"/>
    <w:basedOn w:val="DefaultParagraphFont"/>
    <w:link w:val="BodyTextIndent2"/>
    <w:rsid w:val="00E211EE"/>
    <w:rPr>
      <w:rFonts w:ascii="Times New Roman" w:eastAsia="Times New Roman" w:hAnsi="Times New Roman" w:cs="Times New Roman"/>
      <w:kern w:val="0"/>
      <w:szCs w:val="20"/>
      <w:lang w:val="ro-RO" w:eastAsia="ru-RU"/>
      <w14:ligatures w14:val="none"/>
    </w:rPr>
  </w:style>
  <w:style w:type="paragraph" w:styleId="BodyText">
    <w:name w:val="Body Text"/>
    <w:basedOn w:val="Normal"/>
    <w:link w:val="BodyTextChar"/>
    <w:uiPriority w:val="99"/>
    <w:unhideWhenUsed/>
    <w:rsid w:val="00E211EE"/>
    <w:pPr>
      <w:spacing w:after="120" w:line="259" w:lineRule="auto"/>
      <w:contextualSpacing w:val="0"/>
    </w:pPr>
    <w:rPr>
      <w:rFonts w:asciiTheme="minorHAnsi" w:eastAsiaTheme="minorHAnsi" w:hAnsiTheme="minorHAnsi"/>
      <w:sz w:val="22"/>
      <w:szCs w:val="22"/>
      <w:lang w:val="en-US" w:eastAsia="en-US"/>
    </w:rPr>
  </w:style>
  <w:style w:type="character" w:customStyle="1" w:styleId="BodyTextChar">
    <w:name w:val="Body Text Char"/>
    <w:basedOn w:val="DefaultParagraphFont"/>
    <w:link w:val="BodyText"/>
    <w:uiPriority w:val="99"/>
    <w:rsid w:val="00E211EE"/>
    <w:rPr>
      <w:kern w:val="0"/>
      <w:sz w:val="22"/>
      <w:szCs w:val="22"/>
      <w:lang w:val="en-US"/>
      <w14:ligatures w14:val="none"/>
    </w:rPr>
  </w:style>
  <w:style w:type="paragraph" w:customStyle="1" w:styleId="ListParagraph1">
    <w:name w:val="List Paragraph1"/>
    <w:basedOn w:val="Normal"/>
    <w:uiPriority w:val="34"/>
    <w:qFormat/>
    <w:rsid w:val="00E211EE"/>
    <w:pPr>
      <w:spacing w:after="160" w:line="259" w:lineRule="auto"/>
      <w:ind w:left="720"/>
    </w:pPr>
    <w:rPr>
      <w:rFonts w:ascii="Calibri" w:eastAsia="Calibri" w:hAnsi="Calibri" w:cs="Times New Roman"/>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1</cp:revision>
  <dcterms:created xsi:type="dcterms:W3CDTF">2024-03-13T11:10:00Z</dcterms:created>
  <dcterms:modified xsi:type="dcterms:W3CDTF">2024-03-13T11:10:00Z</dcterms:modified>
</cp:coreProperties>
</file>